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1F6F09">
      <w:pPr>
        <w:widowControl/>
        <w:spacing w:line="560" w:lineRule="exact"/>
        <w:jc w:val="left"/>
        <w:rPr>
          <w:rFonts w:hint="eastAsia" w:ascii="Times New Roman" w:hAnsi="方正小标宋简体" w:eastAsia="方正小标宋简体" w:cs="方正小标宋简体"/>
          <w:color w:val="000000"/>
          <w:kern w:val="0"/>
          <w:sz w:val="36"/>
          <w:szCs w:val="36"/>
        </w:rPr>
      </w:pPr>
      <w:bookmarkStart w:id="0" w:name="_Hlk161301164"/>
      <w:r>
        <w:rPr>
          <w:rFonts w:hint="eastAsia" w:ascii="Times New Roman" w:hAnsi="Verdana" w:eastAsia="仿宋_GB2312" w:cs="仿宋_GB2312"/>
          <w:color w:val="000000"/>
          <w:kern w:val="0"/>
          <w:sz w:val="32"/>
          <w:szCs w:val="32"/>
        </w:rPr>
        <w:t>附件</w:t>
      </w:r>
      <w:r>
        <w:rPr>
          <w:rFonts w:hint="eastAsia" w:ascii="Times New Roman" w:hAnsi="Verdana" w:eastAsia="仿宋_GB2312" w:cs="仿宋_GB2312"/>
          <w:color w:val="000000"/>
          <w:kern w:val="0"/>
          <w:sz w:val="32"/>
          <w:szCs w:val="32"/>
          <w:lang w:val="en-US" w:eastAsia="zh-CN"/>
        </w:rPr>
        <w:t>1</w:t>
      </w:r>
      <w:bookmarkStart w:id="1" w:name="_GoBack"/>
      <w:bookmarkEnd w:id="1"/>
    </w:p>
    <w:p w14:paraId="07F2333C">
      <w:pPr>
        <w:widowControl/>
        <w:jc w:val="center"/>
        <w:rPr>
          <w:rFonts w:ascii="方正小标宋简体" w:hAnsi="宋体" w:eastAsia="方正小标宋简体" w:cs="宋体"/>
          <w:sz w:val="44"/>
          <w:szCs w:val="44"/>
        </w:rPr>
      </w:pPr>
      <w:r>
        <w:rPr>
          <w:rFonts w:hint="eastAsia" w:ascii="Times New Roman" w:hAnsi="方正小标宋简体" w:eastAsia="方正小标宋简体" w:cs="方正小标宋简体"/>
          <w:color w:val="000000"/>
          <w:kern w:val="0"/>
          <w:sz w:val="36"/>
          <w:szCs w:val="36"/>
        </w:rPr>
        <w:t>经济类</w:t>
      </w:r>
      <w:r>
        <w:rPr>
          <w:rFonts w:hint="eastAsia" w:ascii="Times New Roman" w:hAnsi="方正小标宋简体" w:eastAsia="方正小标宋简体" w:cs="方正小标宋简体"/>
          <w:color w:val="000000"/>
          <w:kern w:val="0"/>
          <w:sz w:val="36"/>
          <w:szCs w:val="36"/>
          <w:lang w:val="en-US" w:eastAsia="zh-CN"/>
        </w:rPr>
        <w:t>专业</w:t>
      </w:r>
      <w:r>
        <w:rPr>
          <w:rFonts w:hint="eastAsia" w:ascii="Times New Roman" w:hAnsi="方正小标宋简体" w:eastAsia="方正小标宋简体" w:cs="方正小标宋简体"/>
          <w:color w:val="000000"/>
          <w:kern w:val="0"/>
          <w:sz w:val="36"/>
          <w:szCs w:val="36"/>
        </w:rPr>
        <w:t>理论课堂教学质量标准（试行）</w:t>
      </w:r>
    </w:p>
    <w:p w14:paraId="11CB5E57">
      <w:pPr>
        <w:keepNext w:val="0"/>
        <w:keepLines w:val="0"/>
        <w:pageBreakBefore w:val="0"/>
        <w:widowControl w:val="0"/>
        <w:kinsoku/>
        <w:wordWrap/>
        <w:overflowPunct/>
        <w:topLinePunct w:val="0"/>
        <w:autoSpaceDE/>
        <w:autoSpaceDN/>
        <w:bidi w:val="0"/>
        <w:adjustRightInd/>
        <w:snapToGrid/>
        <w:spacing w:before="0" w:beforeLines="50" w:line="560" w:lineRule="exact"/>
        <w:textAlignment w:val="auto"/>
        <w:rPr>
          <w:rFonts w:ascii="黑体" w:hAnsi="黑体" w:eastAsia="黑体" w:cs="仿宋"/>
          <w:sz w:val="32"/>
          <w:szCs w:val="32"/>
        </w:rPr>
      </w:pPr>
      <w:r>
        <w:rPr>
          <w:rFonts w:hint="eastAsia" w:ascii="黑体" w:hAnsi="黑体" w:eastAsia="黑体" w:cs="仿宋"/>
          <w:sz w:val="32"/>
          <w:szCs w:val="32"/>
        </w:rPr>
        <w:t>一、理论教学质量标准</w:t>
      </w:r>
    </w:p>
    <w:p w14:paraId="45E47D02">
      <w:pPr>
        <w:spacing w:line="560" w:lineRule="exact"/>
        <w:rPr>
          <w:rFonts w:ascii="楷体" w:hAnsi="楷体" w:eastAsia="楷体" w:cs="仿宋"/>
          <w:b/>
          <w:bCs/>
          <w:sz w:val="32"/>
          <w:szCs w:val="32"/>
        </w:rPr>
      </w:pPr>
      <w:r>
        <w:rPr>
          <w:rFonts w:hint="eastAsia" w:ascii="楷体" w:hAnsi="楷体" w:eastAsia="楷体" w:cs="仿宋"/>
          <w:b/>
          <w:bCs/>
          <w:sz w:val="32"/>
          <w:szCs w:val="32"/>
        </w:rPr>
        <w:t>（一）课堂教学</w:t>
      </w:r>
    </w:p>
    <w:p w14:paraId="77CBCC4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课堂教学是进行课程理论教学的主要形式，是教学过程的基本环节。</w:t>
      </w:r>
    </w:p>
    <w:p w14:paraId="220965E5">
      <w:pPr>
        <w:spacing w:line="560" w:lineRule="exact"/>
        <w:ind w:firstLine="643" w:firstLineChars="200"/>
        <w:rPr>
          <w:rFonts w:ascii="仿宋" w:hAnsi="仿宋" w:eastAsia="仿宋" w:cs="仿宋"/>
          <w:b/>
          <w:bCs/>
          <w:sz w:val="32"/>
          <w:szCs w:val="32"/>
        </w:rPr>
      </w:pPr>
      <w:r>
        <w:rPr>
          <w:rFonts w:ascii="仿宋" w:hAnsi="仿宋" w:eastAsia="仿宋" w:cs="仿宋"/>
          <w:b/>
          <w:bCs/>
          <w:sz w:val="32"/>
          <w:szCs w:val="32"/>
        </w:rPr>
        <w:t>1</w:t>
      </w:r>
      <w:r>
        <w:rPr>
          <w:rFonts w:hint="eastAsia" w:ascii="仿宋" w:hAnsi="仿宋" w:eastAsia="仿宋" w:cs="仿宋"/>
          <w:b/>
          <w:bCs/>
          <w:sz w:val="32"/>
          <w:szCs w:val="32"/>
        </w:rPr>
        <w:t>．</w:t>
      </w:r>
      <w:r>
        <w:rPr>
          <w:rFonts w:ascii="仿宋" w:hAnsi="仿宋" w:eastAsia="仿宋" w:cs="仿宋"/>
          <w:b/>
          <w:bCs/>
          <w:sz w:val="32"/>
          <w:szCs w:val="32"/>
        </w:rPr>
        <w:t>授课教师</w:t>
      </w:r>
    </w:p>
    <w:p w14:paraId="0AE8C2E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w:t>
      </w:r>
      <w:r>
        <w:rPr>
          <w:rFonts w:ascii="仿宋" w:hAnsi="仿宋" w:eastAsia="仿宋" w:cs="仿宋"/>
          <w:sz w:val="32"/>
          <w:szCs w:val="32"/>
        </w:rPr>
        <w:t>授课教师必须具有硕士学位或讲师以上职务，取得高等学校教师资格证书并通过我校授课教师资格认定。</w:t>
      </w:r>
    </w:p>
    <w:p w14:paraId="49855E12">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w:t>
      </w:r>
      <w:r>
        <w:rPr>
          <w:rFonts w:ascii="仿宋" w:hAnsi="仿宋" w:eastAsia="仿宋" w:cs="仿宋"/>
          <w:sz w:val="32"/>
          <w:szCs w:val="32"/>
        </w:rPr>
        <w:t>各门课程的主讲教师应由讲师以上职称者担任，应经过课程各个教学环节的严格训练。</w:t>
      </w:r>
    </w:p>
    <w:p w14:paraId="7AFC4CD1">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w:t>
      </w:r>
      <w:r>
        <w:rPr>
          <w:rFonts w:ascii="仿宋" w:hAnsi="仿宋" w:eastAsia="仿宋" w:cs="仿宋"/>
          <w:sz w:val="32"/>
          <w:szCs w:val="32"/>
        </w:rPr>
        <w:t>新教师必须经过岗前培训且成绩合格，系统承担过教学任务，并取得授课教师资格方可承担课堂理论教学。</w:t>
      </w:r>
    </w:p>
    <w:p w14:paraId="778F70E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第四，</w:t>
      </w:r>
      <w:r>
        <w:rPr>
          <w:rFonts w:ascii="仿宋" w:hAnsi="仿宋" w:eastAsia="仿宋" w:cs="仿宋"/>
          <w:sz w:val="32"/>
          <w:szCs w:val="32"/>
        </w:rPr>
        <w:t>凡具有教授、副教授职称的教师应积极承担理论课教学任务。</w:t>
      </w:r>
    </w:p>
    <w:p w14:paraId="53AE3D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第五，</w:t>
      </w:r>
      <w:r>
        <w:rPr>
          <w:rFonts w:ascii="仿宋" w:hAnsi="仿宋" w:eastAsia="仿宋" w:cs="仿宋"/>
          <w:sz w:val="32"/>
          <w:szCs w:val="32"/>
        </w:rPr>
        <w:t>理论及实验（实习）课的授课教师必须使用普通话教学。</w:t>
      </w:r>
    </w:p>
    <w:p w14:paraId="7505821C">
      <w:pPr>
        <w:spacing w:line="560" w:lineRule="exact"/>
        <w:ind w:firstLine="643" w:firstLineChars="200"/>
        <w:rPr>
          <w:rFonts w:ascii="仿宋" w:hAnsi="仿宋" w:eastAsia="仿宋" w:cs="仿宋"/>
          <w:b/>
          <w:bCs/>
          <w:sz w:val="32"/>
          <w:szCs w:val="32"/>
        </w:rPr>
      </w:pPr>
      <w:r>
        <w:rPr>
          <w:rFonts w:ascii="仿宋" w:hAnsi="仿宋" w:eastAsia="仿宋" w:cs="仿宋"/>
          <w:b/>
          <w:bCs/>
          <w:sz w:val="32"/>
          <w:szCs w:val="32"/>
        </w:rPr>
        <w:t>2</w:t>
      </w:r>
      <w:r>
        <w:rPr>
          <w:rFonts w:hint="eastAsia" w:ascii="仿宋" w:hAnsi="仿宋" w:eastAsia="仿宋" w:cs="仿宋"/>
          <w:b/>
          <w:bCs/>
          <w:sz w:val="32"/>
          <w:szCs w:val="32"/>
        </w:rPr>
        <w:t>．</w:t>
      </w:r>
      <w:r>
        <w:rPr>
          <w:rFonts w:ascii="仿宋" w:hAnsi="仿宋" w:eastAsia="仿宋" w:cs="仿宋"/>
          <w:b/>
          <w:bCs/>
          <w:sz w:val="32"/>
          <w:szCs w:val="32"/>
        </w:rPr>
        <w:t>备课</w:t>
      </w:r>
    </w:p>
    <w:p w14:paraId="4CA1AEB0">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备课是非常重要的教学环节，是圆满完成课堂教学的基本保证，是影响教学质量的关键环节之一。</w:t>
      </w:r>
    </w:p>
    <w:p w14:paraId="5DBFD33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w:t>
      </w:r>
      <w:r>
        <w:rPr>
          <w:rFonts w:ascii="仿宋" w:hAnsi="仿宋" w:eastAsia="仿宋" w:cs="仿宋"/>
          <w:sz w:val="32"/>
          <w:szCs w:val="32"/>
        </w:rPr>
        <w:t>教师备课要根据教学大纲要求和课程教学计划安排，深入钻研教材，编写教案和讲稿。</w:t>
      </w:r>
    </w:p>
    <w:p w14:paraId="04533DE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w:t>
      </w:r>
      <w:r>
        <w:rPr>
          <w:rFonts w:ascii="仿宋" w:hAnsi="仿宋" w:eastAsia="仿宋" w:cs="仿宋"/>
          <w:sz w:val="32"/>
          <w:szCs w:val="32"/>
        </w:rPr>
        <w:t>备课应按教学大纲要求确定教学内容的重点与难点、深度和广度，并根据学生的学习基础将本学科的新成果和发展动态不断充实于教学内容之中。</w:t>
      </w:r>
    </w:p>
    <w:p w14:paraId="1B41D85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w:t>
      </w:r>
      <w:r>
        <w:rPr>
          <w:rFonts w:ascii="仿宋" w:hAnsi="仿宋" w:eastAsia="仿宋" w:cs="仿宋"/>
          <w:sz w:val="32"/>
          <w:szCs w:val="32"/>
        </w:rPr>
        <w:t>根据各章节教材教学内容的具体情况，选用有利于增强教学效果的教学方式和方法，力求做到教学内容与方法的优化组合。</w:t>
      </w:r>
    </w:p>
    <w:p w14:paraId="0B66CB1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第四，</w:t>
      </w:r>
      <w:r>
        <w:rPr>
          <w:rFonts w:ascii="仿宋" w:hAnsi="仿宋" w:eastAsia="仿宋" w:cs="仿宋"/>
          <w:sz w:val="32"/>
          <w:szCs w:val="32"/>
        </w:rPr>
        <w:t>备课时应根据学生所学专业、课程设置、已开课程、相关课程等具体情况，注意本课程与后继课程之间的衔接，处理好本课程与其它课程的关系。</w:t>
      </w:r>
    </w:p>
    <w:p w14:paraId="6A8574B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第五，</w:t>
      </w:r>
      <w:r>
        <w:rPr>
          <w:rFonts w:ascii="仿宋" w:hAnsi="仿宋" w:eastAsia="仿宋" w:cs="仿宋"/>
          <w:sz w:val="32"/>
          <w:szCs w:val="32"/>
        </w:rPr>
        <w:t>选定与教材匹配的参考书，拟定好为学生布置的思考与练习题及自学内容。</w:t>
      </w:r>
    </w:p>
    <w:p w14:paraId="27268B18">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第六，</w:t>
      </w:r>
      <w:r>
        <w:rPr>
          <w:rFonts w:ascii="仿宋" w:hAnsi="仿宋" w:eastAsia="仿宋" w:cs="仿宋"/>
          <w:sz w:val="32"/>
          <w:szCs w:val="32"/>
        </w:rPr>
        <w:t>教师上课前必须做好各种教学设备、教具等各项教学准备工作，使教学用具处于完好备用状态。积极采用</w:t>
      </w:r>
      <w:r>
        <w:rPr>
          <w:rFonts w:hint="eastAsia" w:ascii="仿宋" w:hAnsi="仿宋" w:eastAsia="仿宋" w:cs="仿宋"/>
          <w:sz w:val="32"/>
          <w:szCs w:val="32"/>
        </w:rPr>
        <w:t>多媒体</w:t>
      </w:r>
      <w:r>
        <w:rPr>
          <w:rFonts w:ascii="仿宋" w:hAnsi="仿宋" w:eastAsia="仿宋" w:cs="仿宋"/>
          <w:sz w:val="32"/>
          <w:szCs w:val="32"/>
        </w:rPr>
        <w:t>等现代化教学技术。</w:t>
      </w:r>
    </w:p>
    <w:p w14:paraId="2BEF87A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第七，系部</w:t>
      </w:r>
      <w:r>
        <w:rPr>
          <w:rFonts w:ascii="仿宋" w:hAnsi="仿宋" w:eastAsia="仿宋" w:cs="仿宋"/>
          <w:sz w:val="32"/>
          <w:szCs w:val="32"/>
        </w:rPr>
        <w:t>应坚持集体备课制度，加强集体研究，集思广益，取长补短，共同提高；开展以教学法为主的教学研究工作；随时检查教学进度与教学日历的执行情况。</w:t>
      </w:r>
    </w:p>
    <w:p w14:paraId="0A3BC69C">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第八，</w:t>
      </w:r>
      <w:r>
        <w:rPr>
          <w:rFonts w:ascii="仿宋" w:hAnsi="仿宋" w:eastAsia="仿宋" w:cs="仿宋"/>
          <w:sz w:val="32"/>
          <w:szCs w:val="32"/>
        </w:rPr>
        <w:t>备课强调教师个人钻研，集体讨论，鼓励教师形成自己的特点和风格。</w:t>
      </w:r>
    </w:p>
    <w:p w14:paraId="55D4F408">
      <w:pPr>
        <w:spacing w:line="560" w:lineRule="exact"/>
        <w:ind w:firstLine="643" w:firstLineChars="200"/>
        <w:rPr>
          <w:rFonts w:ascii="仿宋" w:hAnsi="仿宋" w:eastAsia="仿宋" w:cs="仿宋"/>
          <w:b/>
          <w:bCs/>
          <w:sz w:val="32"/>
          <w:szCs w:val="32"/>
        </w:rPr>
      </w:pPr>
      <w:r>
        <w:rPr>
          <w:rFonts w:ascii="仿宋" w:hAnsi="仿宋" w:eastAsia="仿宋" w:cs="仿宋"/>
          <w:b/>
          <w:bCs/>
          <w:sz w:val="32"/>
          <w:szCs w:val="32"/>
        </w:rPr>
        <w:t>3</w:t>
      </w:r>
      <w:r>
        <w:rPr>
          <w:rFonts w:hint="eastAsia" w:ascii="仿宋" w:hAnsi="仿宋" w:eastAsia="仿宋" w:cs="仿宋"/>
          <w:b/>
          <w:bCs/>
          <w:sz w:val="32"/>
          <w:szCs w:val="32"/>
        </w:rPr>
        <w:t>．</w:t>
      </w:r>
      <w:r>
        <w:rPr>
          <w:rFonts w:ascii="仿宋" w:hAnsi="仿宋" w:eastAsia="仿宋" w:cs="仿宋"/>
          <w:b/>
          <w:bCs/>
          <w:sz w:val="32"/>
          <w:szCs w:val="32"/>
        </w:rPr>
        <w:t>课堂讲授</w:t>
      </w:r>
    </w:p>
    <w:p w14:paraId="56455E8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课堂讲授是教学的基本形式和中心环节，是提高教学质量的关键。</w:t>
      </w:r>
    </w:p>
    <w:p w14:paraId="2EF53F7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第一，</w:t>
      </w:r>
      <w:r>
        <w:rPr>
          <w:rFonts w:ascii="仿宋" w:hAnsi="仿宋" w:eastAsia="仿宋" w:cs="仿宋"/>
          <w:sz w:val="32"/>
          <w:szCs w:val="32"/>
        </w:rPr>
        <w:t>授课教师应以高度的责任感，饱满的精神状态，认真对待每一堂课，教书育人，严格要求学生遵守课堂纪律，组织好课堂教学。</w:t>
      </w:r>
    </w:p>
    <w:p w14:paraId="5B883EB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第二，</w:t>
      </w:r>
      <w:r>
        <w:rPr>
          <w:rFonts w:ascii="仿宋" w:hAnsi="仿宋" w:eastAsia="仿宋" w:cs="仿宋"/>
          <w:sz w:val="32"/>
          <w:szCs w:val="32"/>
        </w:rPr>
        <w:t>课堂讲授应根据课程的目的和任务，对教学大纲要求的内容进行科学性、系统性、艺术性讲解。</w:t>
      </w:r>
    </w:p>
    <w:p w14:paraId="050332CA">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第三，</w:t>
      </w:r>
      <w:r>
        <w:rPr>
          <w:rFonts w:ascii="仿宋" w:hAnsi="仿宋" w:eastAsia="仿宋" w:cs="仿宋"/>
          <w:sz w:val="32"/>
          <w:szCs w:val="32"/>
        </w:rPr>
        <w:t>准确把握课程教学的重点、难点和深度、广度，讲课内容重点突出，讲透难点，循序渐进，主次分明，详略得当，知识容量密度适宜，基本理论阐述清楚，深入浅出，通俗易懂，理论联系实际。</w:t>
      </w:r>
    </w:p>
    <w:p w14:paraId="101D3377">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第四，</w:t>
      </w:r>
      <w:r>
        <w:rPr>
          <w:rFonts w:ascii="仿宋" w:hAnsi="仿宋" w:eastAsia="仿宋" w:cs="仿宋"/>
          <w:sz w:val="32"/>
          <w:szCs w:val="32"/>
        </w:rPr>
        <w:t>在教学方法上，要采用启发式教学，重视对学生能力的培养，注重对学生进行学习方法的指导，积极引导学生思考问题，尊重学生的创造精神，鼓励学生发表不同见解，以激励学生的积极性和主动性。</w:t>
      </w:r>
    </w:p>
    <w:p w14:paraId="7F7EC51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第五，</w:t>
      </w:r>
      <w:r>
        <w:rPr>
          <w:rFonts w:ascii="仿宋" w:hAnsi="仿宋" w:eastAsia="仿宋" w:cs="仿宋"/>
          <w:sz w:val="32"/>
          <w:szCs w:val="32"/>
        </w:rPr>
        <w:t>教师的课堂语言要准确、简练、条理清楚，板书文字要符合规范化要求。</w:t>
      </w:r>
    </w:p>
    <w:p w14:paraId="4058D08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第六，</w:t>
      </w:r>
      <w:r>
        <w:rPr>
          <w:rFonts w:ascii="仿宋" w:hAnsi="仿宋" w:eastAsia="仿宋" w:cs="仿宋"/>
          <w:sz w:val="32"/>
          <w:szCs w:val="32"/>
        </w:rPr>
        <w:t>重视教学效果的信息反馈，及时在授课中调整讲课的进度与讲授方式，力求使教与学两方面协调沟通，教学相长。</w:t>
      </w:r>
    </w:p>
    <w:p w14:paraId="2FD8A15D">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第七，</w:t>
      </w:r>
      <w:r>
        <w:rPr>
          <w:rFonts w:ascii="仿宋" w:hAnsi="仿宋" w:eastAsia="仿宋" w:cs="仿宋"/>
          <w:sz w:val="32"/>
          <w:szCs w:val="32"/>
        </w:rPr>
        <w:t>按照课程教学计划的要求严格掌握教学进度。</w:t>
      </w:r>
    </w:p>
    <w:p w14:paraId="2C3D67B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第八，</w:t>
      </w:r>
      <w:r>
        <w:rPr>
          <w:rFonts w:ascii="仿宋" w:hAnsi="仿宋" w:eastAsia="仿宋" w:cs="仿宋"/>
          <w:sz w:val="32"/>
          <w:szCs w:val="32"/>
        </w:rPr>
        <w:t>课堂教学，要求站立讲授。教学场所严禁吸烟。</w:t>
      </w:r>
    </w:p>
    <w:p w14:paraId="0A0597B2">
      <w:pPr>
        <w:spacing w:line="560" w:lineRule="exact"/>
        <w:ind w:firstLine="643" w:firstLineChars="200"/>
        <w:rPr>
          <w:rFonts w:ascii="仿宋" w:hAnsi="仿宋" w:eastAsia="仿宋" w:cs="仿宋"/>
          <w:b/>
          <w:bCs/>
          <w:sz w:val="32"/>
          <w:szCs w:val="32"/>
        </w:rPr>
      </w:pPr>
      <w:r>
        <w:rPr>
          <w:rFonts w:ascii="仿宋" w:hAnsi="仿宋" w:eastAsia="仿宋" w:cs="仿宋"/>
          <w:b/>
          <w:bCs/>
          <w:sz w:val="32"/>
          <w:szCs w:val="32"/>
        </w:rPr>
        <w:t>4</w:t>
      </w:r>
      <w:r>
        <w:rPr>
          <w:rFonts w:hint="eastAsia" w:ascii="仿宋" w:hAnsi="仿宋" w:eastAsia="仿宋" w:cs="仿宋"/>
          <w:b/>
          <w:bCs/>
          <w:sz w:val="32"/>
          <w:szCs w:val="32"/>
        </w:rPr>
        <w:t>．</w:t>
      </w:r>
      <w:r>
        <w:rPr>
          <w:rFonts w:ascii="仿宋" w:hAnsi="仿宋" w:eastAsia="仿宋" w:cs="仿宋"/>
          <w:b/>
          <w:bCs/>
          <w:sz w:val="32"/>
          <w:szCs w:val="32"/>
        </w:rPr>
        <w:t>教学总结</w:t>
      </w:r>
    </w:p>
    <w:p w14:paraId="203FA6E5">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课程结束后任课教师要认真进行教学总结。总结包括教学任务完成情况、教材质量及应用情况、教学中的经验和体会、存在的问题、改进措施等。系部要组织教师开展交流。</w:t>
      </w:r>
    </w:p>
    <w:p w14:paraId="16F46131">
      <w:pPr>
        <w:spacing w:line="560" w:lineRule="exact"/>
        <w:rPr>
          <w:rFonts w:ascii="楷体" w:hAnsi="楷体" w:eastAsia="楷体" w:cs="仿宋"/>
          <w:b/>
          <w:bCs/>
          <w:sz w:val="32"/>
          <w:szCs w:val="32"/>
        </w:rPr>
      </w:pPr>
      <w:r>
        <w:rPr>
          <w:rFonts w:hint="eastAsia" w:ascii="楷体" w:hAnsi="楷体" w:eastAsia="楷体" w:cs="仿宋"/>
          <w:b/>
          <w:bCs/>
          <w:sz w:val="32"/>
          <w:szCs w:val="32"/>
        </w:rPr>
        <w:t>（二）辅导答疑</w:t>
      </w:r>
    </w:p>
    <w:p w14:paraId="42D2F109">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辅导答疑是课堂教学的重要补充。其目的是帮助学生解决学习中的疑难问题，指导学生改进学习方法，启发学生独立思考，根据学生个人的情况贯彻因材施教的原则。</w:t>
      </w:r>
    </w:p>
    <w:p w14:paraId="152BADAB">
      <w:pPr>
        <w:spacing w:line="560" w:lineRule="exact"/>
        <w:ind w:firstLine="640" w:firstLineChars="200"/>
        <w:rPr>
          <w:rFonts w:ascii="仿宋" w:hAnsi="仿宋" w:eastAsia="仿宋" w:cs="仿宋"/>
          <w:sz w:val="32"/>
          <w:szCs w:val="32"/>
        </w:rPr>
      </w:pPr>
      <w:r>
        <w:rPr>
          <w:rFonts w:ascii="仿宋" w:hAnsi="仿宋" w:eastAsia="仿宋" w:cs="仿宋"/>
          <w:sz w:val="32"/>
          <w:szCs w:val="32"/>
        </w:rPr>
        <w:t>辅导答疑一般由主讲教师负责，要认真做好辅导答疑前的准备工作。深入了解学生的学习情况和存在的疑难问题、对教学的意见和要求，有针对性地进行辅导。</w:t>
      </w:r>
    </w:p>
    <w:p w14:paraId="52517FF6">
      <w:pPr>
        <w:spacing w:line="560" w:lineRule="exact"/>
        <w:ind w:firstLine="640" w:firstLineChars="200"/>
        <w:rPr>
          <w:rFonts w:ascii="仿宋" w:hAnsi="仿宋" w:eastAsia="仿宋" w:cs="仿宋"/>
          <w:sz w:val="32"/>
          <w:szCs w:val="32"/>
        </w:rPr>
      </w:pPr>
      <w:r>
        <w:rPr>
          <w:rFonts w:ascii="仿宋" w:hAnsi="仿宋" w:eastAsia="仿宋" w:cs="仿宋"/>
          <w:sz w:val="32"/>
          <w:szCs w:val="32"/>
        </w:rPr>
        <w:t>注意记载辅导答疑过程中学生普遍存在的问题，以便积累经验，不断改进教学。</w:t>
      </w:r>
    </w:p>
    <w:p w14:paraId="2B5B0AA1">
      <w:pPr>
        <w:spacing w:line="560" w:lineRule="exact"/>
        <w:ind w:firstLine="640" w:firstLineChars="200"/>
        <w:rPr>
          <w:rFonts w:ascii="仿宋" w:hAnsi="仿宋" w:eastAsia="仿宋" w:cs="仿宋"/>
          <w:sz w:val="32"/>
          <w:szCs w:val="32"/>
        </w:rPr>
      </w:pPr>
      <w:r>
        <w:rPr>
          <w:rFonts w:ascii="仿宋" w:hAnsi="仿宋" w:eastAsia="仿宋" w:cs="仿宋"/>
          <w:sz w:val="32"/>
          <w:szCs w:val="32"/>
        </w:rPr>
        <w:t>辅导答疑在教学过程中进行，学生自愿参加，考试前一般不组织辅导答疑，严禁辅导答疑时向学生暗示考题和出示复习提纲。</w:t>
      </w:r>
    </w:p>
    <w:p w14:paraId="09FD5AFB">
      <w:pPr>
        <w:spacing w:line="460" w:lineRule="exact"/>
        <w:rPr>
          <w:rFonts w:ascii="仿宋" w:hAnsi="仿宋" w:eastAsia="仿宋"/>
          <w:sz w:val="32"/>
          <w:szCs w:val="32"/>
        </w:rPr>
      </w:pPr>
    </w:p>
    <w:p w14:paraId="24BCC5FB">
      <w:pPr>
        <w:spacing w:line="460" w:lineRule="exact"/>
        <w:rPr>
          <w:rFonts w:ascii="仿宋" w:hAnsi="仿宋" w:eastAsia="仿宋"/>
          <w:sz w:val="32"/>
          <w:szCs w:val="32"/>
        </w:rPr>
      </w:pPr>
      <w:r>
        <w:rPr>
          <w:rFonts w:hint="eastAsia" w:ascii="仿宋" w:hAnsi="仿宋" w:eastAsia="仿宋"/>
          <w:sz w:val="32"/>
          <w:szCs w:val="32"/>
        </w:rPr>
        <w:t>附件1</w:t>
      </w:r>
    </w:p>
    <w:p w14:paraId="4CEC3D88">
      <w:pPr>
        <w:spacing w:line="460" w:lineRule="exact"/>
        <w:jc w:val="center"/>
        <w:rPr>
          <w:rFonts w:ascii="仿宋" w:hAnsi="仿宋" w:eastAsia="仿宋"/>
          <w:sz w:val="32"/>
          <w:szCs w:val="32"/>
        </w:rPr>
      </w:pPr>
      <w:r>
        <w:drawing>
          <wp:anchor distT="0" distB="0" distL="114300" distR="114300" simplePos="0" relativeHeight="251659264" behindDoc="0" locked="0" layoutInCell="1" allowOverlap="1">
            <wp:simplePos x="0" y="0"/>
            <wp:positionH relativeFrom="margin">
              <wp:align>right</wp:align>
            </wp:positionH>
            <wp:positionV relativeFrom="paragraph">
              <wp:posOffset>425450</wp:posOffset>
            </wp:positionV>
            <wp:extent cx="5652135" cy="3562985"/>
            <wp:effectExtent l="0" t="0" r="5715" b="0"/>
            <wp:wrapSquare wrapText="bothSides"/>
            <wp:docPr id="7275938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593826"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52135" cy="3562985"/>
                    </a:xfrm>
                    <a:prstGeom prst="rect">
                      <a:avLst/>
                    </a:prstGeom>
                  </pic:spPr>
                </pic:pic>
              </a:graphicData>
            </a:graphic>
          </wp:anchor>
        </w:drawing>
      </w:r>
      <w:r>
        <w:rPr>
          <w:rFonts w:hint="eastAsia" w:ascii="仿宋" w:hAnsi="仿宋" w:eastAsia="仿宋"/>
          <w:sz w:val="32"/>
          <w:szCs w:val="32"/>
        </w:rPr>
        <w:t>理论课堂教学质量评价标准</w:t>
      </w:r>
    </w:p>
    <w:p w14:paraId="12208E41">
      <w:pPr>
        <w:spacing w:line="460" w:lineRule="exact"/>
        <w:rPr>
          <w:rFonts w:ascii="仿宋" w:hAnsi="仿宋" w:eastAsia="仿宋"/>
          <w:sz w:val="32"/>
          <w:szCs w:val="32"/>
        </w:rPr>
      </w:pPr>
    </w:p>
    <w:p w14:paraId="337D4863">
      <w:pPr>
        <w:spacing w:line="460" w:lineRule="exact"/>
        <w:rPr>
          <w:rFonts w:ascii="仿宋" w:hAnsi="仿宋" w:eastAsia="仿宋"/>
          <w:sz w:val="32"/>
          <w:szCs w:val="32"/>
        </w:rPr>
      </w:pPr>
    </w:p>
    <w:p w14:paraId="42C34C2F">
      <w:pPr>
        <w:rPr>
          <w:rFonts w:ascii="仿宋" w:hAnsi="仿宋" w:eastAsia="仿宋" w:cs="仿宋"/>
          <w:spacing w:val="-3"/>
          <w:sz w:val="28"/>
          <w:szCs w:val="28"/>
        </w:rPr>
      </w:pPr>
    </w:p>
    <w:bookmarkEnd w:id="0"/>
    <w:p w14:paraId="4E6A4313">
      <w:pPr>
        <w:spacing w:line="560" w:lineRule="exact"/>
        <w:ind w:right="1280"/>
        <w:jc w:val="center"/>
        <w:rPr>
          <w:rFonts w:ascii="仿宋" w:hAnsi="仿宋" w:eastAsia="仿宋"/>
          <w:sz w:val="32"/>
          <w:szCs w:val="32"/>
        </w:rPr>
      </w:pPr>
      <w:r>
        <w:rPr>
          <w:rFonts w:hint="eastAsia" w:ascii="仿宋" w:hAnsi="仿宋" w:eastAsia="仿宋"/>
          <w:sz w:val="32"/>
          <w:szCs w:val="32"/>
        </w:rPr>
        <w:t xml:space="preserve">                           编写人：崔译文</w:t>
      </w:r>
    </w:p>
    <w:p w14:paraId="6C3AB1FF">
      <w:pPr>
        <w:spacing w:line="560" w:lineRule="exact"/>
        <w:ind w:right="1280" w:firstLine="4800" w:firstLineChars="1500"/>
        <w:rPr>
          <w:rFonts w:ascii="仿宋" w:hAnsi="仿宋" w:eastAsia="仿宋"/>
          <w:sz w:val="32"/>
          <w:szCs w:val="32"/>
        </w:rPr>
      </w:pPr>
      <w:r>
        <w:rPr>
          <w:rFonts w:hint="eastAsia" w:ascii="仿宋" w:hAnsi="仿宋" w:eastAsia="仿宋"/>
          <w:sz w:val="32"/>
          <w:szCs w:val="32"/>
        </w:rPr>
        <w:t>审核人：吴红艳</w:t>
      </w:r>
    </w:p>
    <w:p w14:paraId="1A546189">
      <w:pPr>
        <w:spacing w:line="560" w:lineRule="exact"/>
        <w:jc w:val="right"/>
        <w:rPr>
          <w:rFonts w:ascii="仿宋" w:hAnsi="仿宋" w:eastAsia="仿宋"/>
          <w:sz w:val="32"/>
          <w:szCs w:val="32"/>
        </w:rPr>
      </w:pPr>
      <w:r>
        <w:rPr>
          <w:rFonts w:hint="eastAsia" w:ascii="仿宋" w:hAnsi="仿宋" w:eastAsia="仿宋"/>
          <w:sz w:val="32"/>
          <w:szCs w:val="32"/>
        </w:rPr>
        <w:t>制定时间：2024年3月24日</w:t>
      </w:r>
    </w:p>
    <w:p w14:paraId="48C7726B"/>
    <w:p w14:paraId="44A6A7D0">
      <w:pPr>
        <w:widowControl/>
        <w:shd w:val="clear" w:color="auto" w:fill="FDFDFE"/>
        <w:spacing w:line="480" w:lineRule="atLeast"/>
        <w:rPr>
          <w:rFonts w:ascii="Segoe UI" w:hAnsi="Segoe UI" w:eastAsia="宋体" w:cs="Segoe UI"/>
          <w:kern w:val="0"/>
          <w:sz w:val="18"/>
          <w:szCs w:val="18"/>
        </w:rPr>
      </w:pPr>
    </w:p>
    <w:p w14:paraId="0342A726"/>
    <w:p w14:paraId="2CBF3168">
      <w:pPr>
        <w:rPr>
          <w:rFonts w:ascii="宋体" w:hAnsi="宋体" w:eastAsia="宋体"/>
          <w:sz w:val="24"/>
          <w:szCs w:val="24"/>
        </w:rPr>
      </w:pPr>
    </w:p>
    <w:sectPr>
      <w:footerReference r:id="rId3" w:type="default"/>
      <w:pgSz w:w="12050" w:h="16920"/>
      <w:pgMar w:top="1438" w:right="1740" w:bottom="829" w:left="1409" w:header="0" w:footer="5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928869"/>
    </w:sdtPr>
    <w:sdtEndPr>
      <w:rPr>
        <w:rFonts w:ascii="仿宋" w:hAnsi="仿宋" w:eastAsia="仿宋"/>
      </w:rPr>
    </w:sdtEndPr>
    <w:sdtContent>
      <w:p w14:paraId="3A7F57A7">
        <w:pPr>
          <w:pStyle w:val="2"/>
          <w:jc w:val="center"/>
          <w:rPr>
            <w:rFonts w:ascii="仿宋" w:hAnsi="仿宋" w:eastAsia="仿宋"/>
          </w:rPr>
        </w:pPr>
        <w:r>
          <w:rPr>
            <w:rFonts w:ascii="仿宋" w:hAnsi="仿宋" w:eastAsia="仿宋"/>
          </w:rPr>
          <w:fldChar w:fldCharType="begin"/>
        </w:r>
        <w:r>
          <w:rPr>
            <w:rFonts w:ascii="仿宋" w:hAnsi="仿宋" w:eastAsia="仿宋"/>
          </w:rPr>
          <w:instrText xml:space="preserve">PAGE   \* MERGEFORMAT</w:instrText>
        </w:r>
        <w:r>
          <w:rPr>
            <w:rFonts w:ascii="仿宋" w:hAnsi="仿宋" w:eastAsia="仿宋"/>
          </w:rPr>
          <w:fldChar w:fldCharType="separate"/>
        </w:r>
        <w:r>
          <w:rPr>
            <w:rFonts w:ascii="仿宋" w:hAnsi="仿宋" w:eastAsia="仿宋"/>
            <w:lang w:val="zh-CN"/>
          </w:rPr>
          <w:t>153</w:t>
        </w:r>
        <w:r>
          <w:rPr>
            <w:rFonts w:ascii="仿宋" w:hAnsi="仿宋" w:eastAsia="仿宋"/>
          </w:rPr>
          <w:fldChar w:fldCharType="end"/>
        </w:r>
      </w:p>
    </w:sdtContent>
  </w:sdt>
  <w:p w14:paraId="5D02FC5B">
    <w:pPr>
      <w:spacing w:line="231" w:lineRule="exact"/>
      <w:rPr>
        <w:rFonts w:ascii="宋体" w:hAnsi="宋体" w:eastAsia="宋体" w:cs="宋体"/>
        <w:sz w:val="33"/>
        <w:szCs w:val="33"/>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yMDA4NDcyYTZhMDExYmE3NWJlZmQzMGFlMWJhOTQifQ=="/>
  </w:docVars>
  <w:rsids>
    <w:rsidRoot w:val="008502D5"/>
    <w:rsid w:val="00076561"/>
    <w:rsid w:val="000B5462"/>
    <w:rsid w:val="00105720"/>
    <w:rsid w:val="00111BD6"/>
    <w:rsid w:val="00145792"/>
    <w:rsid w:val="001657BE"/>
    <w:rsid w:val="00306EBF"/>
    <w:rsid w:val="003078D2"/>
    <w:rsid w:val="00327C52"/>
    <w:rsid w:val="0036659C"/>
    <w:rsid w:val="004512B3"/>
    <w:rsid w:val="00470AF5"/>
    <w:rsid w:val="00524721"/>
    <w:rsid w:val="005540D1"/>
    <w:rsid w:val="00570AA2"/>
    <w:rsid w:val="005E4C19"/>
    <w:rsid w:val="0063147F"/>
    <w:rsid w:val="006502CE"/>
    <w:rsid w:val="006A2B3F"/>
    <w:rsid w:val="007F0FE9"/>
    <w:rsid w:val="008502D5"/>
    <w:rsid w:val="00916A2F"/>
    <w:rsid w:val="009B6A7A"/>
    <w:rsid w:val="00A23968"/>
    <w:rsid w:val="00A302A5"/>
    <w:rsid w:val="00A54866"/>
    <w:rsid w:val="00AD5B7F"/>
    <w:rsid w:val="00AF4F10"/>
    <w:rsid w:val="00B15289"/>
    <w:rsid w:val="00B37C4A"/>
    <w:rsid w:val="00C128FE"/>
    <w:rsid w:val="00CD5604"/>
    <w:rsid w:val="00E073BF"/>
    <w:rsid w:val="00E60D66"/>
    <w:rsid w:val="00EB5CBD"/>
    <w:rsid w:val="00EF2214"/>
    <w:rsid w:val="00FF0FBD"/>
    <w:rsid w:val="0D1E46E1"/>
    <w:rsid w:val="1C532890"/>
    <w:rsid w:val="29391B78"/>
    <w:rsid w:val="354B15AC"/>
    <w:rsid w:val="3E6F6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tabs>
        <w:tab w:val="center" w:pos="4153"/>
        <w:tab w:val="right" w:pos="8306"/>
      </w:tabs>
      <w:snapToGrid w:val="0"/>
      <w:jc w:val="center"/>
    </w:pPr>
    <w:rPr>
      <w:sz w:val="18"/>
      <w:szCs w:val="18"/>
    </w:rPr>
  </w:style>
  <w:style w:type="paragraph" w:styleId="4">
    <w:name w:val="toc 2"/>
    <w:basedOn w:val="1"/>
    <w:next w:val="1"/>
    <w:unhideWhenUsed/>
    <w:qFormat/>
    <w:uiPriority w:val="39"/>
    <w:pPr>
      <w:ind w:left="210"/>
      <w:jc w:val="left"/>
    </w:pPr>
    <w:rPr>
      <w:rFonts w:eastAsiaTheme="minorHAnsi"/>
      <w:smallCaps/>
      <w:sz w:val="20"/>
      <w:szCs w:val="20"/>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Strong"/>
    <w:basedOn w:val="7"/>
    <w:qFormat/>
    <w:uiPriority w:val="22"/>
    <w:rPr>
      <w:b/>
    </w:rPr>
  </w:style>
  <w:style w:type="character" w:customStyle="1" w:styleId="9">
    <w:name w:val="页脚 字符"/>
    <w:basedOn w:val="7"/>
    <w:link w:val="2"/>
    <w:qFormat/>
    <w:uiPriority w:val="99"/>
    <w:rPr>
      <w:sz w:val="18"/>
      <w:szCs w:val="18"/>
    </w:rPr>
  </w:style>
  <w:style w:type="table" w:customStyle="1" w:styleId="10">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1">
    <w:name w:val="页眉 字符"/>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1570</Words>
  <Characters>1574</Characters>
  <Lines>11</Lines>
  <Paragraphs>3</Paragraphs>
  <TotalTime>1</TotalTime>
  <ScaleCrop>false</ScaleCrop>
  <LinksUpToDate>false</LinksUpToDate>
  <CharactersWithSpaces>1601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2023-12-20T04:47:00Z</dcterms:created>
  <dc:creator>Yiwen Cui</dc:creator>
  <cp:lastModifiedBy>汐</cp:lastModifiedBy>
  <dcterms:modified xsi:type="dcterms:W3CDTF">2024-12-13T03:28:00Z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ADFD2A54B87942AE8B2330DC0ABBB780_12</vt:lpwstr>
  </property>
</Properties>
</file>