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D3F97">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武 汉 工 商 学 院</w:t>
      </w:r>
    </w:p>
    <w:p w14:paraId="55AD438B">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招（议）标文件</w:t>
      </w:r>
    </w:p>
    <w:p w14:paraId="73051478">
      <w:pPr>
        <w:pStyle w:val="8"/>
        <w:spacing w:before="0" w:beforeAutospacing="0" w:after="0" w:afterAutospacing="0" w:line="450" w:lineRule="atLeast"/>
        <w:jc w:val="both"/>
        <w:rPr>
          <w:sz w:val="21"/>
          <w:szCs w:val="21"/>
        </w:rPr>
      </w:pPr>
      <w:r>
        <w:rPr>
          <w:rStyle w:val="12"/>
          <w:rFonts w:hint="eastAsia"/>
          <w:color w:val="333333"/>
          <w:sz w:val="28"/>
          <w:szCs w:val="28"/>
          <w:shd w:val="clear" w:color="auto" w:fill="FFFFFF"/>
        </w:rPr>
        <w:t> </w:t>
      </w:r>
    </w:p>
    <w:p w14:paraId="24EF2BCB">
      <w:pPr>
        <w:pStyle w:val="8"/>
        <w:spacing w:before="0" w:beforeAutospacing="0" w:after="0" w:afterAutospacing="0" w:line="450" w:lineRule="atLeast"/>
        <w:jc w:val="center"/>
        <w:rPr>
          <w:sz w:val="21"/>
          <w:szCs w:val="21"/>
        </w:rPr>
      </w:pPr>
      <w:r>
        <w:drawing>
          <wp:inline distT="0" distB="0" distL="0" distR="0">
            <wp:extent cx="3552825" cy="3340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554114" cy="3342078"/>
                    </a:xfrm>
                    <a:prstGeom prst="rect">
                      <a:avLst/>
                    </a:prstGeom>
                    <a:noFill/>
                    <a:ln>
                      <a:noFill/>
                    </a:ln>
                  </pic:spPr>
                </pic:pic>
              </a:graphicData>
            </a:graphic>
          </wp:inline>
        </w:drawing>
      </w:r>
    </w:p>
    <w:p w14:paraId="066FC951">
      <w:pPr>
        <w:pStyle w:val="8"/>
        <w:spacing w:before="0" w:beforeAutospacing="0" w:after="0" w:afterAutospacing="0" w:line="450" w:lineRule="atLeast"/>
        <w:jc w:val="both"/>
        <w:rPr>
          <w:sz w:val="21"/>
          <w:szCs w:val="21"/>
        </w:rPr>
      </w:pPr>
      <w:r>
        <w:rPr>
          <w:rStyle w:val="12"/>
          <w:rFonts w:hint="eastAsia"/>
          <w:color w:val="333333"/>
          <w:sz w:val="44"/>
          <w:szCs w:val="44"/>
          <w:shd w:val="clear" w:color="auto" w:fill="FFFFFF"/>
        </w:rPr>
        <w:t> </w:t>
      </w:r>
    </w:p>
    <w:p w14:paraId="098ACF3E">
      <w:pPr>
        <w:pStyle w:val="8"/>
        <w:spacing w:before="0" w:beforeAutospacing="0" w:after="156" w:afterLines="50" w:afterAutospacing="0" w:line="450" w:lineRule="atLeast"/>
        <w:ind w:left="3030" w:hanging="3030" w:hangingChars="686"/>
        <w:jc w:val="both"/>
        <w:rPr>
          <w:sz w:val="21"/>
          <w:szCs w:val="21"/>
          <w:u w:val="single"/>
        </w:rPr>
      </w:pPr>
      <w:r>
        <w:rPr>
          <w:rStyle w:val="12"/>
          <w:rFonts w:hint="eastAsia"/>
          <w:color w:val="333333"/>
          <w:sz w:val="44"/>
          <w:szCs w:val="44"/>
          <w:shd w:val="clear" w:color="auto" w:fill="FFFFFF"/>
        </w:rPr>
        <w:t>招标项目名称:</w:t>
      </w:r>
      <w:r>
        <w:rPr>
          <w:rStyle w:val="12"/>
          <w:rFonts w:hint="eastAsia"/>
          <w:color w:val="333333"/>
          <w:sz w:val="28"/>
          <w:szCs w:val="28"/>
          <w:u w:val="single"/>
          <w:shd w:val="clear" w:color="auto" w:fill="FFFFFF"/>
          <w:lang w:val="en-US" w:eastAsia="zh-CN"/>
        </w:rPr>
        <w:t>审计实训仿真平台</w:t>
      </w:r>
      <w:r>
        <w:rPr>
          <w:rStyle w:val="12"/>
          <w:rFonts w:hint="eastAsia"/>
          <w:color w:val="333333"/>
          <w:sz w:val="28"/>
          <w:szCs w:val="28"/>
          <w:u w:val="single"/>
          <w:shd w:val="clear" w:color="auto" w:fill="FFFFFF"/>
        </w:rPr>
        <w:t xml:space="preserve">建设项目                      </w:t>
      </w:r>
    </w:p>
    <w:p w14:paraId="2D3D3473">
      <w:pPr>
        <w:pStyle w:val="8"/>
        <w:spacing w:before="0" w:beforeAutospacing="0" w:after="156" w:afterLines="50" w:afterAutospacing="0" w:line="450" w:lineRule="atLeast"/>
        <w:jc w:val="both"/>
        <w:rPr>
          <w:sz w:val="28"/>
          <w:szCs w:val="28"/>
          <w:u w:val="single"/>
        </w:rPr>
      </w:pPr>
      <w:r>
        <w:rPr>
          <w:rStyle w:val="12"/>
          <w:rFonts w:hint="eastAsia"/>
          <w:color w:val="333333"/>
          <w:sz w:val="44"/>
          <w:szCs w:val="44"/>
          <w:shd w:val="clear" w:color="auto" w:fill="FFFFFF"/>
        </w:rPr>
        <w:t>编      号</w:t>
      </w:r>
      <w:r>
        <w:rPr>
          <w:rFonts w:hint="eastAsia"/>
          <w:color w:val="333333"/>
          <w:sz w:val="44"/>
          <w:szCs w:val="44"/>
          <w:shd w:val="clear" w:color="auto" w:fill="FFFFFF"/>
        </w:rPr>
        <w:t>:</w:t>
      </w:r>
      <w:r>
        <w:rPr>
          <w:rStyle w:val="12"/>
          <w:rFonts w:hint="eastAsia"/>
          <w:color w:val="333333"/>
          <w:sz w:val="28"/>
          <w:szCs w:val="28"/>
          <w:u w:val="single"/>
          <w:shd w:val="clear" w:color="auto" w:fill="FFFFFF"/>
        </w:rPr>
        <w:t> G2024-</w:t>
      </w:r>
      <w:r>
        <w:rPr>
          <w:rStyle w:val="12"/>
          <w:rFonts w:hint="eastAsia"/>
          <w:color w:val="333333"/>
          <w:sz w:val="28"/>
          <w:szCs w:val="28"/>
          <w:u w:val="single"/>
          <w:shd w:val="clear" w:color="auto" w:fill="FFFFFF"/>
          <w:lang w:val="en-US" w:eastAsia="zh-CN"/>
        </w:rPr>
        <w:t>23</w:t>
      </w:r>
      <w:r>
        <w:rPr>
          <w:rStyle w:val="12"/>
          <w:color w:val="333333"/>
          <w:sz w:val="28"/>
          <w:szCs w:val="28"/>
          <w:u w:val="single"/>
          <w:shd w:val="clear" w:color="auto" w:fill="FFFFFF"/>
        </w:rPr>
        <w:t xml:space="preserve">          </w:t>
      </w:r>
      <w:r>
        <w:rPr>
          <w:rStyle w:val="12"/>
          <w:rFonts w:hint="eastAsia"/>
          <w:color w:val="333333"/>
          <w:sz w:val="32"/>
          <w:szCs w:val="32"/>
          <w:u w:val="single"/>
          <w:shd w:val="clear" w:color="auto" w:fill="FFFFFF"/>
        </w:rPr>
        <w:t xml:space="preserve">                 </w:t>
      </w:r>
    </w:p>
    <w:p w14:paraId="2011D8BA">
      <w:pPr>
        <w:pStyle w:val="8"/>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C2EB3F8">
      <w:pPr>
        <w:pStyle w:val="8"/>
        <w:spacing w:before="0" w:beforeAutospacing="0" w:after="0" w:afterAutospacing="0" w:line="450" w:lineRule="atLeast"/>
        <w:jc w:val="both"/>
        <w:rPr>
          <w:rStyle w:val="12"/>
          <w:color w:val="333333"/>
          <w:sz w:val="52"/>
          <w:szCs w:val="52"/>
          <w:shd w:val="clear" w:color="auto" w:fill="FFFFFF"/>
        </w:rPr>
      </w:pPr>
    </w:p>
    <w:p w14:paraId="015D99EE">
      <w:pPr>
        <w:pStyle w:val="8"/>
        <w:spacing w:before="0" w:beforeAutospacing="0" w:after="0" w:afterAutospacing="0" w:line="450" w:lineRule="atLeast"/>
        <w:jc w:val="center"/>
        <w:rPr>
          <w:sz w:val="52"/>
          <w:szCs w:val="52"/>
        </w:rPr>
      </w:pPr>
      <w:r>
        <w:rPr>
          <w:rStyle w:val="12"/>
          <w:rFonts w:hint="eastAsia"/>
          <w:color w:val="333333"/>
          <w:sz w:val="52"/>
          <w:szCs w:val="52"/>
          <w:shd w:val="clear" w:color="auto" w:fill="FFFFFF"/>
        </w:rPr>
        <w:t>武汉工商学院招投标办公室</w:t>
      </w:r>
    </w:p>
    <w:p w14:paraId="7EE702AB">
      <w:pPr>
        <w:pStyle w:val="8"/>
        <w:spacing w:before="0" w:beforeAutospacing="0" w:after="0" w:afterAutospacing="0" w:line="450" w:lineRule="atLeast"/>
        <w:jc w:val="center"/>
        <w:rPr>
          <w:rStyle w:val="12"/>
          <w:color w:val="333333"/>
          <w:sz w:val="52"/>
          <w:szCs w:val="52"/>
          <w:shd w:val="clear" w:color="auto" w:fill="FFFFFF"/>
        </w:rPr>
      </w:pPr>
      <w:r>
        <w:rPr>
          <w:rStyle w:val="12"/>
          <w:rFonts w:hint="eastAsia"/>
          <w:color w:val="333333"/>
          <w:sz w:val="52"/>
          <w:szCs w:val="52"/>
          <w:shd w:val="clear" w:color="auto" w:fill="FFFFFF"/>
        </w:rPr>
        <w:t>二○二四年</w:t>
      </w:r>
      <w:r>
        <w:rPr>
          <w:rStyle w:val="12"/>
          <w:rFonts w:hint="eastAsia"/>
          <w:color w:val="333333"/>
          <w:sz w:val="52"/>
          <w:szCs w:val="52"/>
          <w:shd w:val="clear" w:color="auto" w:fill="FFFFFF"/>
          <w:lang w:val="en-US" w:eastAsia="zh-CN"/>
        </w:rPr>
        <w:t>八</w:t>
      </w:r>
      <w:r>
        <w:rPr>
          <w:rStyle w:val="12"/>
          <w:rFonts w:hint="eastAsia"/>
          <w:color w:val="333333"/>
          <w:sz w:val="52"/>
          <w:szCs w:val="52"/>
          <w:shd w:val="clear" w:color="auto" w:fill="FFFFFF"/>
        </w:rPr>
        <w:t>月</w:t>
      </w:r>
    </w:p>
    <w:p w14:paraId="615763E3">
      <w:pPr>
        <w:spacing w:line="440" w:lineRule="exact"/>
        <w:jc w:val="center"/>
        <w:rPr>
          <w:rFonts w:ascii="仿宋" w:hAnsi="仿宋" w:eastAsia="仿宋"/>
          <w:b/>
          <w:sz w:val="32"/>
          <w:szCs w:val="32"/>
        </w:rPr>
      </w:pPr>
      <w:r>
        <w:rPr>
          <w:rFonts w:hint="eastAsia" w:ascii="仿宋" w:hAnsi="仿宋" w:eastAsia="仿宋"/>
          <w:b/>
          <w:sz w:val="32"/>
          <w:szCs w:val="32"/>
        </w:rPr>
        <w:t>第一部分</w:t>
      </w:r>
      <w:r>
        <w:rPr>
          <w:rFonts w:hint="eastAsia" w:ascii="宋体" w:hAnsi="宋体" w:cs="宋体"/>
          <w:b/>
          <w:sz w:val="32"/>
          <w:szCs w:val="32"/>
        </w:rPr>
        <w:t>  </w:t>
      </w:r>
      <w:r>
        <w:rPr>
          <w:rFonts w:hint="eastAsia" w:ascii="仿宋" w:hAnsi="仿宋" w:eastAsia="仿宋"/>
          <w:b/>
          <w:sz w:val="32"/>
          <w:szCs w:val="32"/>
        </w:rPr>
        <w:t xml:space="preserve"> 招（议）标邀请</w:t>
      </w:r>
    </w:p>
    <w:p w14:paraId="709FF106">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w:t>
      </w:r>
      <w:r>
        <w:rPr>
          <w:rFonts w:hint="eastAsia" w:ascii="仿宋" w:hAnsi="仿宋" w:eastAsia="仿宋"/>
          <w:sz w:val="24"/>
          <w:u w:val="single"/>
          <w:lang w:val="en-US" w:eastAsia="zh-CN"/>
        </w:rPr>
        <w:t>审计实训仿真平台</w:t>
      </w:r>
      <w:r>
        <w:rPr>
          <w:rFonts w:hint="eastAsia" w:ascii="仿宋" w:hAnsi="仿宋" w:eastAsia="仿宋"/>
          <w:sz w:val="24"/>
          <w:u w:val="single"/>
        </w:rPr>
        <w:t>建设项目</w:t>
      </w:r>
      <w:r>
        <w:rPr>
          <w:rFonts w:hint="eastAsia" w:ascii="仿宋" w:hAnsi="仿宋" w:eastAsia="仿宋"/>
          <w:sz w:val="24"/>
        </w:rPr>
        <w:t>招标，欢迎能满足标书要求的厂家前来投标。</w:t>
      </w:r>
    </w:p>
    <w:p w14:paraId="42EE7328">
      <w:pPr>
        <w:spacing w:line="420" w:lineRule="exact"/>
        <w:ind w:firstLine="482" w:firstLineChars="200"/>
        <w:jc w:val="left"/>
        <w:rPr>
          <w:rFonts w:ascii="仿宋" w:hAnsi="仿宋" w:eastAsia="仿宋"/>
          <w:bCs/>
          <w:sz w:val="24"/>
        </w:rPr>
      </w:pPr>
      <w:r>
        <w:rPr>
          <w:rFonts w:hint="eastAsia" w:ascii="仿宋" w:hAnsi="仿宋" w:eastAsia="仿宋"/>
          <w:b/>
          <w:sz w:val="24"/>
        </w:rPr>
        <w:t>一、招标项目名称：</w:t>
      </w:r>
      <w:r>
        <w:rPr>
          <w:rFonts w:hint="eastAsia" w:ascii="仿宋" w:hAnsi="仿宋" w:eastAsia="仿宋"/>
          <w:sz w:val="24"/>
          <w:u w:val="single"/>
          <w:lang w:val="en-US" w:eastAsia="zh-CN"/>
        </w:rPr>
        <w:t>审计实训仿真平台</w:t>
      </w:r>
      <w:r>
        <w:rPr>
          <w:rFonts w:hint="eastAsia" w:ascii="仿宋" w:hAnsi="仿宋" w:eastAsia="仿宋"/>
          <w:sz w:val="24"/>
          <w:u w:val="single"/>
        </w:rPr>
        <w:t>建设项目</w:t>
      </w:r>
    </w:p>
    <w:p w14:paraId="50C4A8A9">
      <w:pPr>
        <w:spacing w:line="420" w:lineRule="exact"/>
        <w:ind w:firstLine="480" w:firstLineChars="200"/>
        <w:jc w:val="left"/>
        <w:rPr>
          <w:rFonts w:ascii="仿宋" w:hAnsi="仿宋" w:eastAsia="仿宋"/>
          <w:sz w:val="24"/>
        </w:rPr>
      </w:pPr>
      <w:r>
        <w:rPr>
          <w:rFonts w:hint="eastAsia" w:ascii="仿宋" w:hAnsi="仿宋" w:eastAsia="仿宋"/>
          <w:sz w:val="24"/>
        </w:rPr>
        <w:t>2024年</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7</w:t>
      </w:r>
      <w:r>
        <w:rPr>
          <w:rFonts w:hint="eastAsia" w:ascii="仿宋" w:hAnsi="仿宋" w:eastAsia="仿宋"/>
          <w:sz w:val="24"/>
        </w:rPr>
        <w:t>日下午</w:t>
      </w:r>
      <w:r>
        <w:rPr>
          <w:rFonts w:hint="eastAsia" w:ascii="仿宋" w:hAnsi="仿宋" w:eastAsia="仿宋"/>
          <w:sz w:val="24"/>
          <w:lang w:val="en-US" w:eastAsia="zh-CN"/>
        </w:rPr>
        <w:t>4</w:t>
      </w:r>
      <w:r>
        <w:rPr>
          <w:rFonts w:hint="eastAsia" w:ascii="仿宋" w:hAnsi="仿宋" w:eastAsia="仿宋"/>
          <w:sz w:val="24"/>
        </w:rPr>
        <w:t xml:space="preserve">: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hint="eastAsia" w:ascii="仿宋" w:hAnsi="仿宋" w:eastAsia="仿宋"/>
          <w:sz w:val="24"/>
          <w:u w:val="single"/>
        </w:rPr>
        <w:t xml:space="preserve"> </w:t>
      </w:r>
      <w:r>
        <w:rPr>
          <w:rFonts w:hint="eastAsia" w:ascii="仿宋" w:hAnsi="仿宋" w:eastAsia="仿宋"/>
          <w:sz w:val="24"/>
          <w:u w:val="single"/>
          <w:lang w:val="en-US" w:eastAsia="zh-CN"/>
        </w:rPr>
        <w:t>2</w:t>
      </w:r>
      <w:r>
        <w:rPr>
          <w:rFonts w:hint="eastAsia" w:ascii="仿宋" w:hAnsi="仿宋" w:eastAsia="仿宋"/>
          <w:sz w:val="24"/>
          <w:u w:val="single"/>
        </w:rPr>
        <w:t>00元</w:t>
      </w:r>
      <w:r>
        <w:rPr>
          <w:rFonts w:hint="eastAsia" w:ascii="仿宋" w:hAnsi="仿宋" w:eastAsia="仿宋"/>
          <w:sz w:val="24"/>
        </w:rPr>
        <w:t>（该费用收取后概不退还）。</w:t>
      </w:r>
    </w:p>
    <w:p w14:paraId="23874126">
      <w:pPr>
        <w:spacing w:line="420" w:lineRule="exact"/>
        <w:ind w:firstLine="480" w:firstLineChars="200"/>
        <w:jc w:val="left"/>
        <w:rPr>
          <w:rFonts w:ascii="仿宋" w:hAnsi="仿宋" w:eastAsia="仿宋"/>
          <w:sz w:val="24"/>
        </w:rPr>
      </w:pPr>
      <w:r>
        <w:rPr>
          <w:rFonts w:hint="eastAsia" w:ascii="仿宋" w:hAnsi="仿宋" w:eastAsia="仿宋"/>
          <w:sz w:val="24"/>
        </w:rPr>
        <w:t>递交标书费的账户信息:</w:t>
      </w:r>
    </w:p>
    <w:p w14:paraId="16DB1BE9">
      <w:pPr>
        <w:spacing w:line="420" w:lineRule="exact"/>
        <w:ind w:firstLine="480" w:firstLineChars="200"/>
        <w:jc w:val="left"/>
        <w:rPr>
          <w:rFonts w:ascii="仿宋" w:hAnsi="仿宋" w:eastAsia="仿宋"/>
          <w:sz w:val="24"/>
        </w:rPr>
      </w:pPr>
      <w:r>
        <w:rPr>
          <w:rFonts w:hint="eastAsia" w:ascii="仿宋" w:hAnsi="仿宋" w:eastAsia="仿宋"/>
          <w:sz w:val="24"/>
        </w:rPr>
        <w:t>支付宝账号：13995699032  户名：杜丹丹</w:t>
      </w:r>
    </w:p>
    <w:p w14:paraId="6ECA6999">
      <w:pPr>
        <w:spacing w:line="420" w:lineRule="exact"/>
        <w:ind w:firstLine="482" w:firstLineChars="200"/>
        <w:jc w:val="left"/>
        <w:rPr>
          <w:rFonts w:ascii="仿宋" w:hAnsi="仿宋" w:eastAsia="仿宋"/>
          <w:b/>
          <w:sz w:val="24"/>
        </w:rPr>
      </w:pPr>
      <w:r>
        <w:rPr>
          <w:rFonts w:hint="eastAsia" w:ascii="仿宋" w:hAnsi="仿宋" w:eastAsia="仿宋"/>
          <w:b/>
          <w:sz w:val="24"/>
        </w:rPr>
        <w:t>（请备注清楚单位名称及所投项目名称）</w:t>
      </w:r>
    </w:p>
    <w:p w14:paraId="6641F603">
      <w:pPr>
        <w:spacing w:line="420" w:lineRule="exact"/>
        <w:ind w:firstLine="480" w:firstLineChars="200"/>
        <w:jc w:val="left"/>
        <w:rPr>
          <w:rFonts w:ascii="仿宋" w:hAnsi="仿宋" w:eastAsia="仿宋"/>
          <w:sz w:val="24"/>
        </w:rPr>
      </w:pPr>
      <w:r>
        <w:rPr>
          <w:rFonts w:hint="eastAsia" w:ascii="仿宋" w:hAnsi="仿宋" w:eastAsia="仿宋"/>
          <w:sz w:val="24"/>
        </w:rPr>
        <w:t>每个投标单位在递交投标书之前,需交纳投标保证金</w:t>
      </w:r>
      <w:r>
        <w:rPr>
          <w:rFonts w:hint="eastAsia" w:ascii="仿宋" w:hAnsi="仿宋" w:eastAsia="仿宋"/>
          <w:sz w:val="24"/>
          <w:u w:val="single"/>
        </w:rPr>
        <w:t xml:space="preserve"> </w:t>
      </w:r>
      <w:r>
        <w:rPr>
          <w:rFonts w:hint="eastAsia" w:ascii="仿宋" w:hAnsi="仿宋" w:eastAsia="仿宋"/>
          <w:sz w:val="24"/>
          <w:u w:val="single"/>
          <w:lang w:val="en-US" w:eastAsia="zh-CN"/>
        </w:rPr>
        <w:t>贰</w:t>
      </w:r>
      <w:r>
        <w:rPr>
          <w:rFonts w:hint="eastAsia" w:ascii="仿宋" w:hAnsi="仿宋" w:eastAsia="仿宋"/>
          <w:sz w:val="24"/>
          <w:u w:val="single"/>
        </w:rPr>
        <w:t>万 元</w:t>
      </w:r>
      <w:r>
        <w:rPr>
          <w:rFonts w:hint="eastAsia" w:ascii="仿宋" w:hAnsi="仿宋" w:eastAsia="仿宋"/>
          <w:sz w:val="24"/>
        </w:rPr>
        <w:t>，开标后未中标单位的保证金在十个工作日内不计息全额退还,中标单位的保证金则转为合同履约保证金。</w:t>
      </w:r>
    </w:p>
    <w:p w14:paraId="0B87AC6E">
      <w:pPr>
        <w:spacing w:line="42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14:paraId="6EEEBB8B">
      <w:pPr>
        <w:spacing w:line="420" w:lineRule="exact"/>
        <w:ind w:firstLine="480" w:firstLineChars="200"/>
        <w:jc w:val="left"/>
        <w:rPr>
          <w:rFonts w:ascii="仿宋" w:hAnsi="仿宋" w:eastAsia="仿宋"/>
          <w:sz w:val="24"/>
        </w:rPr>
      </w:pPr>
      <w:r>
        <w:rPr>
          <w:rFonts w:hint="eastAsia" w:ascii="仿宋" w:hAnsi="仿宋" w:eastAsia="仿宋"/>
          <w:sz w:val="24"/>
        </w:rPr>
        <w:t>户  名：武汉工商学院</w:t>
      </w:r>
    </w:p>
    <w:p w14:paraId="579DBD8E">
      <w:pPr>
        <w:spacing w:line="420" w:lineRule="exact"/>
        <w:ind w:firstLine="480" w:firstLineChars="200"/>
        <w:jc w:val="left"/>
        <w:rPr>
          <w:rFonts w:ascii="仿宋" w:hAnsi="仿宋" w:eastAsia="仿宋"/>
          <w:sz w:val="24"/>
        </w:rPr>
      </w:pPr>
      <w:r>
        <w:rPr>
          <w:rFonts w:hint="eastAsia" w:ascii="仿宋" w:hAnsi="仿宋" w:eastAsia="仿宋"/>
          <w:sz w:val="24"/>
        </w:rPr>
        <w:t>开户行及账号：建行武汉洪福支行42001237044050001270</w:t>
      </w:r>
    </w:p>
    <w:p w14:paraId="597DC661">
      <w:pPr>
        <w:spacing w:line="420" w:lineRule="exact"/>
        <w:ind w:firstLine="482" w:firstLineChars="200"/>
        <w:jc w:val="left"/>
        <w:rPr>
          <w:rFonts w:ascii="仿宋" w:hAnsi="仿宋" w:eastAsia="仿宋"/>
          <w:b/>
          <w:sz w:val="24"/>
        </w:rPr>
      </w:pPr>
      <w:r>
        <w:rPr>
          <w:rFonts w:hint="eastAsia" w:ascii="仿宋" w:hAnsi="仿宋" w:eastAsia="仿宋"/>
          <w:b/>
          <w:sz w:val="24"/>
        </w:rPr>
        <w:t>二、投标截止时间：</w:t>
      </w:r>
    </w:p>
    <w:p w14:paraId="49305041">
      <w:pPr>
        <w:spacing w:line="420" w:lineRule="exact"/>
        <w:ind w:firstLine="480" w:firstLineChars="200"/>
        <w:jc w:val="left"/>
        <w:rPr>
          <w:rFonts w:ascii="仿宋" w:hAnsi="仿宋" w:eastAsia="仿宋"/>
          <w:sz w:val="24"/>
        </w:rPr>
      </w:pPr>
      <w:r>
        <w:rPr>
          <w:rFonts w:hint="eastAsia" w:ascii="仿宋" w:hAnsi="仿宋" w:eastAsia="仿宋"/>
          <w:sz w:val="24"/>
        </w:rPr>
        <w:t>投标单位于2024年  月  日，将投标文件交到武汉工商学院招投标办公室。如有延误，视为废标；中标单位应在我校规定的时间内来签订合同，逾期视中标单位放弃中标，我校有权扣留保证金。</w:t>
      </w:r>
    </w:p>
    <w:p w14:paraId="5D839F5C">
      <w:pPr>
        <w:spacing w:line="420" w:lineRule="exact"/>
        <w:ind w:firstLine="482" w:firstLineChars="200"/>
        <w:rPr>
          <w:rFonts w:ascii="仿宋" w:hAnsi="仿宋" w:eastAsia="仿宋"/>
          <w:sz w:val="24"/>
        </w:rPr>
      </w:pPr>
      <w:r>
        <w:rPr>
          <w:rFonts w:hint="eastAsia" w:ascii="仿宋" w:hAnsi="仿宋" w:eastAsia="仿宋"/>
          <w:b/>
          <w:bCs/>
          <w:sz w:val="24"/>
        </w:rPr>
        <w:t>付款方式：</w:t>
      </w:r>
      <w:r>
        <w:rPr>
          <w:rFonts w:hint="eastAsia" w:ascii="仿宋" w:hAnsi="仿宋" w:eastAsia="仿宋"/>
          <w:sz w:val="24"/>
        </w:rPr>
        <w:t>施工完毕经验收合格后支付总货款的90%，验收合格满一年后付清余款。</w:t>
      </w:r>
    </w:p>
    <w:p w14:paraId="1D856CC8">
      <w:pPr>
        <w:spacing w:line="420" w:lineRule="exact"/>
        <w:ind w:firstLine="482" w:firstLineChars="200"/>
        <w:rPr>
          <w:rFonts w:ascii="仿宋_GB2312" w:hAnsi="宋体" w:eastAsia="仿宋_GB2312"/>
          <w:sz w:val="28"/>
          <w:szCs w:val="28"/>
        </w:rPr>
      </w:pPr>
      <w:r>
        <w:rPr>
          <w:rFonts w:hint="eastAsia" w:ascii="仿宋" w:hAnsi="仿宋" w:eastAsia="仿宋"/>
          <w:b/>
          <w:sz w:val="24"/>
        </w:rPr>
        <w:t>工期：</w:t>
      </w:r>
      <w:r>
        <w:rPr>
          <w:rFonts w:hint="eastAsia" w:ascii="仿宋" w:hAnsi="仿宋" w:eastAsia="仿宋"/>
          <w:sz w:val="24"/>
        </w:rPr>
        <w:t>以招标方要求时间为准。</w:t>
      </w:r>
    </w:p>
    <w:p w14:paraId="22AAFEC3">
      <w:pPr>
        <w:spacing w:line="420" w:lineRule="exact"/>
        <w:ind w:firstLine="482" w:firstLineChars="200"/>
        <w:jc w:val="left"/>
        <w:rPr>
          <w:rFonts w:ascii="仿宋" w:hAnsi="仿宋" w:eastAsia="仿宋"/>
          <w:sz w:val="24"/>
        </w:rPr>
      </w:pPr>
      <w:r>
        <w:rPr>
          <w:rFonts w:hint="eastAsia" w:ascii="仿宋" w:hAnsi="仿宋" w:eastAsia="仿宋"/>
          <w:b/>
          <w:sz w:val="24"/>
        </w:rPr>
        <w:t>开标时间及地点：</w:t>
      </w:r>
      <w:r>
        <w:rPr>
          <w:rFonts w:hint="eastAsia" w:ascii="仿宋" w:hAnsi="仿宋" w:eastAsia="仿宋"/>
          <w:kern w:val="0"/>
          <w:sz w:val="24"/>
        </w:rPr>
        <w:t>另行通知</w:t>
      </w:r>
      <w:r>
        <w:rPr>
          <w:rFonts w:hint="eastAsia" w:ascii="仿宋" w:hAnsi="仿宋" w:eastAsia="仿宋"/>
          <w:sz w:val="24"/>
        </w:rPr>
        <w:t>。</w:t>
      </w:r>
    </w:p>
    <w:p w14:paraId="14FC4AF8">
      <w:pPr>
        <w:spacing w:line="42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14:paraId="2DD4D48D">
      <w:pPr>
        <w:spacing w:line="42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14:paraId="58EAF180">
      <w:pPr>
        <w:spacing w:line="42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14:paraId="483F91E4">
      <w:pPr>
        <w:spacing w:line="420" w:lineRule="exact"/>
        <w:ind w:firstLine="482" w:firstLineChars="200"/>
        <w:jc w:val="left"/>
        <w:rPr>
          <w:rFonts w:hint="default" w:ascii="仿宋" w:hAnsi="仿宋" w:eastAsia="仿宋"/>
          <w:b/>
          <w:sz w:val="28"/>
          <w:szCs w:val="28"/>
          <w:lang w:val="en-US" w:eastAsia="zh-CN"/>
        </w:rPr>
      </w:pPr>
      <w:r>
        <w:rPr>
          <w:rFonts w:hint="eastAsia" w:ascii="仿宋" w:hAnsi="仿宋" w:eastAsia="仿宋"/>
          <w:b/>
          <w:sz w:val="24"/>
        </w:rPr>
        <w:t>联 系 人：</w:t>
      </w:r>
      <w:r>
        <w:rPr>
          <w:rFonts w:hint="eastAsia" w:ascii="仿宋" w:hAnsi="仿宋" w:eastAsia="仿宋"/>
          <w:sz w:val="24"/>
        </w:rPr>
        <w:t>商务部分：</w:t>
      </w:r>
      <w:r>
        <w:rPr>
          <w:rFonts w:hint="eastAsia" w:ascii="仿宋" w:hAnsi="仿宋" w:eastAsia="仿宋"/>
          <w:sz w:val="24"/>
          <w:lang w:val="en-US" w:eastAsia="zh-CN"/>
        </w:rPr>
        <w:t>黄</w:t>
      </w:r>
      <w:r>
        <w:rPr>
          <w:rFonts w:hint="eastAsia" w:ascii="仿宋" w:hAnsi="仿宋" w:eastAsia="仿宋"/>
          <w:sz w:val="24"/>
        </w:rPr>
        <w:t>老师　</w:t>
      </w:r>
      <w:r>
        <w:rPr>
          <w:rFonts w:hint="eastAsia" w:ascii="仿宋" w:hAnsi="仿宋" w:eastAsia="仿宋"/>
          <w:sz w:val="24"/>
          <w:lang w:val="en-US" w:eastAsia="zh-CN"/>
        </w:rPr>
        <w:t>18071071122</w:t>
      </w:r>
      <w:bookmarkStart w:id="6" w:name="_GoBack"/>
      <w:bookmarkEnd w:id="6"/>
    </w:p>
    <w:p w14:paraId="49CCC23A">
      <w:pPr>
        <w:spacing w:line="420" w:lineRule="exact"/>
        <w:rPr>
          <w:rFonts w:hint="default" w:ascii="仿宋" w:hAnsi="仿宋" w:eastAsia="仿宋"/>
          <w:sz w:val="24"/>
          <w:lang w:val="en-US" w:eastAsia="zh-CN"/>
        </w:rPr>
      </w:pPr>
      <w:r>
        <w:rPr>
          <w:rFonts w:hint="eastAsia" w:ascii="仿宋" w:hAnsi="仿宋" w:eastAsia="仿宋"/>
          <w:b/>
          <w:sz w:val="28"/>
          <w:szCs w:val="28"/>
        </w:rPr>
        <w:t xml:space="preserve">            </w:t>
      </w:r>
      <w:r>
        <w:rPr>
          <w:rFonts w:hint="eastAsia" w:ascii="仿宋" w:hAnsi="仿宋" w:eastAsia="仿宋"/>
          <w:sz w:val="24"/>
        </w:rPr>
        <w:t>技术部分：</w:t>
      </w:r>
      <w:r>
        <w:rPr>
          <w:rFonts w:hint="eastAsia" w:ascii="仿宋" w:hAnsi="仿宋" w:eastAsia="仿宋"/>
          <w:sz w:val="24"/>
          <w:lang w:val="en-US" w:eastAsia="zh-CN"/>
        </w:rPr>
        <w:t>周老师  15972076745</w:t>
      </w:r>
    </w:p>
    <w:p w14:paraId="68CCC9BD">
      <w:pPr>
        <w:spacing w:line="440" w:lineRule="exact"/>
        <w:jc w:val="center"/>
        <w:rPr>
          <w:rFonts w:ascii="仿宋" w:hAnsi="仿宋" w:eastAsia="仿宋"/>
          <w:b/>
          <w:sz w:val="32"/>
          <w:szCs w:val="32"/>
        </w:rPr>
      </w:pPr>
    </w:p>
    <w:p w14:paraId="76E69090">
      <w:pPr>
        <w:spacing w:line="440" w:lineRule="exact"/>
        <w:jc w:val="center"/>
        <w:rPr>
          <w:rFonts w:ascii="仿宋" w:hAnsi="仿宋" w:eastAsia="仿宋"/>
          <w:b/>
          <w:sz w:val="32"/>
          <w:szCs w:val="32"/>
        </w:rPr>
      </w:pPr>
    </w:p>
    <w:p w14:paraId="7F15B4F8">
      <w:pPr>
        <w:spacing w:line="440" w:lineRule="exact"/>
        <w:jc w:val="center"/>
        <w:rPr>
          <w:rFonts w:ascii="仿宋" w:hAnsi="仿宋" w:eastAsia="仿宋"/>
          <w:b/>
          <w:sz w:val="32"/>
          <w:szCs w:val="32"/>
        </w:rPr>
      </w:pPr>
      <w:r>
        <w:rPr>
          <w:rFonts w:hint="eastAsia" w:ascii="仿宋" w:hAnsi="仿宋" w:eastAsia="仿宋"/>
          <w:b/>
          <w:sz w:val="32"/>
          <w:szCs w:val="32"/>
        </w:rPr>
        <w:t>第二部分   投标须知</w:t>
      </w:r>
      <w:bookmarkStart w:id="0" w:name="_Toc311463004"/>
      <w:bookmarkStart w:id="1" w:name="_Toc516597096"/>
      <w:bookmarkStart w:id="2" w:name="_Toc310528355"/>
      <w:bookmarkStart w:id="3" w:name="_Toc355795126"/>
    </w:p>
    <w:bookmarkEnd w:id="0"/>
    <w:bookmarkEnd w:id="1"/>
    <w:bookmarkEnd w:id="2"/>
    <w:bookmarkEnd w:id="3"/>
    <w:p w14:paraId="7ECC88BF">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14:paraId="07A714EE">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14:paraId="2FDAA695">
      <w:pPr>
        <w:spacing w:line="500" w:lineRule="exact"/>
        <w:ind w:firstLine="480" w:firstLineChars="200"/>
        <w:rPr>
          <w:rFonts w:ascii="仿宋" w:hAnsi="仿宋" w:eastAsia="仿宋"/>
          <w:sz w:val="24"/>
        </w:rPr>
      </w:pPr>
      <w:r>
        <w:rPr>
          <w:rFonts w:hint="eastAsia" w:ascii="仿宋" w:hAnsi="仿宋" w:eastAsia="仿宋"/>
          <w:sz w:val="24"/>
        </w:rPr>
        <w:t>1、投标者具有独立法人资格，具有相应的经营资质和一定经营规模，具有良好的经营业绩，坚持诚信经营，有良好的服务保障。</w:t>
      </w:r>
    </w:p>
    <w:p w14:paraId="72357DD7">
      <w:pPr>
        <w:spacing w:line="500" w:lineRule="exact"/>
        <w:ind w:firstLine="480" w:firstLineChars="200"/>
        <w:rPr>
          <w:rFonts w:ascii="仿宋" w:hAnsi="仿宋" w:eastAsia="仿宋"/>
          <w:sz w:val="24"/>
        </w:rPr>
      </w:pPr>
      <w:r>
        <w:rPr>
          <w:rFonts w:hint="eastAsia" w:ascii="仿宋" w:hAnsi="仿宋" w:eastAsia="仿宋"/>
          <w:sz w:val="24"/>
        </w:rPr>
        <w:t>2、投标价均按人民币报价，且为含制作、运输、安装、验收及税价。</w:t>
      </w:r>
    </w:p>
    <w:p w14:paraId="09298789">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14:paraId="194151F0">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14:paraId="79F11C61">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1、投标书正本一份，副本伍份。如副本内容与正本内容不符，则以正本为准（投标完后，标书概不退还）；</w:t>
      </w:r>
    </w:p>
    <w:p w14:paraId="31DABE49">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14:paraId="2FC2B28A">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14:paraId="5B481E90">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4、投标公司简介、企业法人营业执照、法人代表人身份证复印件和委托代理人身份证复印件、法人授权委托书、税务登记证、主要业绩、针对此次项目的原厂授权证明等。</w:t>
      </w:r>
    </w:p>
    <w:p w14:paraId="78C9709F">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14:paraId="62F27CB2">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14:paraId="0BA6991A">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14:paraId="114C2528">
      <w:pPr>
        <w:spacing w:line="440" w:lineRule="exact"/>
        <w:ind w:firstLine="480" w:firstLineChars="200"/>
        <w:jc w:val="left"/>
        <w:rPr>
          <w:rFonts w:ascii="仿宋" w:hAnsi="仿宋" w:eastAsia="仿宋"/>
          <w:sz w:val="24"/>
        </w:rPr>
      </w:pPr>
      <w:r>
        <w:rPr>
          <w:rFonts w:hint="eastAsia" w:ascii="仿宋" w:hAnsi="仿宋" w:eastAsia="仿宋"/>
          <w:sz w:val="24"/>
        </w:rPr>
        <w:t>1、开标时间和地点：</w:t>
      </w:r>
      <w:r>
        <w:rPr>
          <w:rFonts w:hint="eastAsia" w:ascii="仿宋" w:hAnsi="仿宋" w:eastAsia="仿宋"/>
          <w:kern w:val="0"/>
          <w:sz w:val="24"/>
        </w:rPr>
        <w:t>另行通知</w:t>
      </w:r>
      <w:r>
        <w:rPr>
          <w:rFonts w:hint="eastAsia" w:ascii="仿宋" w:hAnsi="仿宋" w:eastAsia="仿宋"/>
          <w:sz w:val="24"/>
        </w:rPr>
        <w:t>。</w:t>
      </w:r>
    </w:p>
    <w:p w14:paraId="313A378A">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14:paraId="217171F7">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14:paraId="182DD97D">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14:paraId="31FD5233">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14:paraId="5E47346F">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3、在开标之前，不允许投标方人员与评标成员接触，如果投标方试图在投标书审查、澄清、比较及签合同时向投标方人员施加不良影响，其投标将被视为无效投标或取消投标资格。</w:t>
      </w:r>
    </w:p>
    <w:p w14:paraId="6CB37238">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14:paraId="3B31BDC3">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14:paraId="7E49BF92">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14:paraId="6E474D28">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14:paraId="4067E0F5">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14:paraId="6C2DE05B">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14:paraId="3704FC98">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14:paraId="555B1EAC">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七、投标单位如有任何疑问，可以向我方招标负责人进行咨询。</w:t>
      </w:r>
    </w:p>
    <w:p w14:paraId="23B482F4">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14:paraId="7A374EFA"/>
    <w:p w14:paraId="02DF56E0">
      <w:pPr>
        <w:spacing w:line="440" w:lineRule="exact"/>
        <w:jc w:val="center"/>
        <w:rPr>
          <w:rFonts w:ascii="仿宋" w:hAnsi="仿宋" w:eastAsia="仿宋"/>
          <w:b/>
          <w:sz w:val="32"/>
          <w:szCs w:val="32"/>
        </w:rPr>
      </w:pPr>
    </w:p>
    <w:p w14:paraId="4D1490F0">
      <w:pPr>
        <w:spacing w:line="440" w:lineRule="exact"/>
        <w:jc w:val="center"/>
        <w:rPr>
          <w:rFonts w:ascii="仿宋" w:hAnsi="仿宋" w:eastAsia="仿宋"/>
          <w:b/>
          <w:sz w:val="32"/>
          <w:szCs w:val="32"/>
        </w:rPr>
      </w:pPr>
    </w:p>
    <w:p w14:paraId="29091E8F">
      <w:pPr>
        <w:spacing w:line="440" w:lineRule="exact"/>
        <w:jc w:val="center"/>
        <w:rPr>
          <w:rFonts w:ascii="仿宋" w:hAnsi="仿宋" w:eastAsia="仿宋"/>
          <w:b/>
          <w:sz w:val="32"/>
          <w:szCs w:val="32"/>
        </w:rPr>
      </w:pPr>
    </w:p>
    <w:p w14:paraId="5DE6167C">
      <w:pPr>
        <w:spacing w:line="440" w:lineRule="exact"/>
        <w:jc w:val="center"/>
        <w:rPr>
          <w:rFonts w:ascii="仿宋" w:hAnsi="仿宋" w:eastAsia="仿宋"/>
          <w:b/>
          <w:sz w:val="32"/>
          <w:szCs w:val="32"/>
        </w:rPr>
      </w:pPr>
    </w:p>
    <w:p w14:paraId="5EF97846">
      <w:pPr>
        <w:spacing w:line="440" w:lineRule="exact"/>
        <w:jc w:val="center"/>
        <w:rPr>
          <w:rFonts w:ascii="仿宋" w:hAnsi="仿宋" w:eastAsia="仿宋"/>
          <w:b/>
          <w:sz w:val="32"/>
          <w:szCs w:val="32"/>
        </w:rPr>
      </w:pPr>
    </w:p>
    <w:p w14:paraId="2387FE7B">
      <w:pPr>
        <w:spacing w:line="440" w:lineRule="exact"/>
        <w:jc w:val="center"/>
        <w:rPr>
          <w:rFonts w:ascii="仿宋" w:hAnsi="仿宋" w:eastAsia="仿宋"/>
          <w:b/>
          <w:sz w:val="32"/>
          <w:szCs w:val="32"/>
        </w:rPr>
      </w:pPr>
    </w:p>
    <w:p w14:paraId="333A817C">
      <w:pPr>
        <w:spacing w:line="440" w:lineRule="exact"/>
        <w:jc w:val="center"/>
        <w:rPr>
          <w:rFonts w:ascii="仿宋" w:hAnsi="仿宋" w:eastAsia="仿宋"/>
          <w:b/>
          <w:sz w:val="32"/>
          <w:szCs w:val="32"/>
        </w:rPr>
      </w:pPr>
    </w:p>
    <w:p w14:paraId="668652DA">
      <w:pPr>
        <w:spacing w:line="440" w:lineRule="exact"/>
        <w:jc w:val="center"/>
        <w:rPr>
          <w:rFonts w:ascii="仿宋" w:hAnsi="仿宋" w:eastAsia="仿宋"/>
          <w:b/>
          <w:sz w:val="32"/>
          <w:szCs w:val="32"/>
        </w:rPr>
      </w:pPr>
    </w:p>
    <w:p w14:paraId="4A25691C">
      <w:pPr>
        <w:spacing w:line="440" w:lineRule="exact"/>
        <w:jc w:val="center"/>
        <w:rPr>
          <w:rFonts w:ascii="仿宋" w:hAnsi="仿宋" w:eastAsia="仿宋"/>
          <w:b/>
          <w:sz w:val="32"/>
          <w:szCs w:val="32"/>
        </w:rPr>
      </w:pPr>
    </w:p>
    <w:p w14:paraId="183E30F0">
      <w:pPr>
        <w:spacing w:line="440" w:lineRule="exact"/>
        <w:jc w:val="center"/>
        <w:rPr>
          <w:rFonts w:ascii="仿宋" w:hAnsi="仿宋" w:eastAsia="仿宋"/>
          <w:b/>
          <w:sz w:val="32"/>
          <w:szCs w:val="32"/>
        </w:rPr>
      </w:pPr>
    </w:p>
    <w:p w14:paraId="24E831E5">
      <w:pPr>
        <w:spacing w:line="440" w:lineRule="exact"/>
        <w:jc w:val="center"/>
        <w:rPr>
          <w:rFonts w:ascii="仿宋" w:hAnsi="仿宋" w:eastAsia="仿宋"/>
          <w:b/>
          <w:sz w:val="32"/>
          <w:szCs w:val="32"/>
        </w:rPr>
      </w:pPr>
    </w:p>
    <w:p w14:paraId="7ACED556">
      <w:pPr>
        <w:spacing w:line="440" w:lineRule="exact"/>
        <w:jc w:val="center"/>
        <w:rPr>
          <w:rFonts w:ascii="仿宋" w:hAnsi="仿宋" w:eastAsia="仿宋"/>
          <w:b/>
          <w:sz w:val="32"/>
          <w:szCs w:val="32"/>
        </w:rPr>
      </w:pPr>
    </w:p>
    <w:p w14:paraId="6BDB3874">
      <w:pPr>
        <w:spacing w:line="440" w:lineRule="exact"/>
        <w:jc w:val="center"/>
        <w:rPr>
          <w:rFonts w:ascii="仿宋" w:hAnsi="仿宋" w:eastAsia="仿宋"/>
          <w:b/>
          <w:sz w:val="32"/>
          <w:szCs w:val="32"/>
        </w:rPr>
      </w:pPr>
    </w:p>
    <w:p w14:paraId="5411AFDA">
      <w:pPr>
        <w:spacing w:line="440" w:lineRule="exact"/>
        <w:jc w:val="center"/>
        <w:rPr>
          <w:rFonts w:ascii="仿宋" w:hAnsi="仿宋" w:eastAsia="仿宋"/>
          <w:b/>
          <w:sz w:val="32"/>
          <w:szCs w:val="32"/>
        </w:rPr>
      </w:pPr>
    </w:p>
    <w:p w14:paraId="459425D2">
      <w:pPr>
        <w:spacing w:line="440" w:lineRule="exact"/>
        <w:jc w:val="center"/>
        <w:rPr>
          <w:rFonts w:ascii="仿宋" w:hAnsi="仿宋" w:eastAsia="仿宋"/>
          <w:b/>
          <w:sz w:val="32"/>
          <w:szCs w:val="32"/>
        </w:rPr>
      </w:pPr>
    </w:p>
    <w:p w14:paraId="5F7BCB25">
      <w:pPr>
        <w:spacing w:line="440" w:lineRule="exact"/>
        <w:jc w:val="center"/>
        <w:rPr>
          <w:rFonts w:ascii="仿宋" w:hAnsi="仿宋" w:eastAsia="仿宋"/>
          <w:b/>
          <w:sz w:val="32"/>
          <w:szCs w:val="32"/>
        </w:rPr>
      </w:pPr>
    </w:p>
    <w:p w14:paraId="1D0F930B">
      <w:pPr>
        <w:spacing w:line="440" w:lineRule="exact"/>
        <w:jc w:val="center"/>
        <w:rPr>
          <w:rFonts w:ascii="仿宋" w:hAnsi="仿宋" w:eastAsia="仿宋"/>
          <w:b/>
          <w:sz w:val="32"/>
          <w:szCs w:val="32"/>
        </w:rPr>
      </w:pPr>
    </w:p>
    <w:p w14:paraId="7988CB2F">
      <w:pPr>
        <w:spacing w:line="440" w:lineRule="exact"/>
        <w:jc w:val="center"/>
        <w:rPr>
          <w:rFonts w:ascii="仿宋" w:hAnsi="仿宋" w:eastAsia="仿宋"/>
          <w:b/>
          <w:sz w:val="32"/>
          <w:szCs w:val="32"/>
        </w:rPr>
      </w:pPr>
    </w:p>
    <w:p w14:paraId="0FE7C123">
      <w:pPr>
        <w:spacing w:line="440" w:lineRule="exact"/>
        <w:jc w:val="center"/>
        <w:rPr>
          <w:rFonts w:ascii="仿宋" w:hAnsi="仿宋" w:eastAsia="仿宋"/>
          <w:b/>
          <w:sz w:val="32"/>
          <w:szCs w:val="32"/>
        </w:rPr>
      </w:pPr>
    </w:p>
    <w:p w14:paraId="48E92751">
      <w:pPr>
        <w:spacing w:line="440" w:lineRule="exact"/>
        <w:jc w:val="center"/>
        <w:rPr>
          <w:rFonts w:ascii="仿宋" w:hAnsi="仿宋" w:eastAsia="仿宋"/>
          <w:b/>
          <w:sz w:val="32"/>
          <w:szCs w:val="32"/>
        </w:rPr>
      </w:pPr>
    </w:p>
    <w:p w14:paraId="1EFA6169">
      <w:pPr>
        <w:spacing w:line="440" w:lineRule="exact"/>
        <w:jc w:val="center"/>
        <w:rPr>
          <w:rFonts w:ascii="仿宋" w:hAnsi="仿宋" w:eastAsia="仿宋"/>
          <w:b/>
          <w:sz w:val="32"/>
          <w:szCs w:val="32"/>
        </w:rPr>
      </w:pPr>
    </w:p>
    <w:p w14:paraId="25CCA224">
      <w:pPr>
        <w:spacing w:line="440" w:lineRule="exact"/>
        <w:jc w:val="center"/>
        <w:rPr>
          <w:rFonts w:ascii="仿宋" w:hAnsi="仿宋" w:eastAsia="仿宋"/>
          <w:b/>
          <w:sz w:val="32"/>
          <w:szCs w:val="32"/>
        </w:rPr>
      </w:pPr>
      <w:r>
        <w:rPr>
          <w:rFonts w:hint="eastAsia" w:ascii="仿宋" w:hAnsi="仿宋" w:eastAsia="仿宋"/>
          <w:b/>
          <w:sz w:val="32"/>
          <w:szCs w:val="32"/>
        </w:rPr>
        <w:t>第三部分 技术要求</w:t>
      </w:r>
    </w:p>
    <w:tbl>
      <w:tblPr>
        <w:tblStyle w:val="9"/>
        <w:tblW w:w="10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7" w:type="dxa"/>
          <w:bottom w:w="0" w:type="dxa"/>
          <w:right w:w="17" w:type="dxa"/>
        </w:tblCellMar>
      </w:tblPr>
      <w:tblGrid>
        <w:gridCol w:w="582"/>
        <w:gridCol w:w="1300"/>
        <w:gridCol w:w="7601"/>
        <w:gridCol w:w="570"/>
      </w:tblGrid>
      <w:tr w14:paraId="75FD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645" w:hRule="atLeast"/>
          <w:jc w:val="center"/>
        </w:trPr>
        <w:tc>
          <w:tcPr>
            <w:tcW w:w="582" w:type="dxa"/>
            <w:tcMar>
              <w:top w:w="0" w:type="dxa"/>
              <w:left w:w="10" w:type="dxa"/>
              <w:bottom w:w="0" w:type="dxa"/>
              <w:right w:w="10" w:type="dxa"/>
            </w:tcMar>
            <w:vAlign w:val="center"/>
          </w:tcPr>
          <w:p w14:paraId="6DE40797">
            <w:pPr>
              <w:spacing w:line="276"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00" w:type="dxa"/>
            <w:tcMar>
              <w:top w:w="0" w:type="dxa"/>
              <w:left w:w="10" w:type="dxa"/>
              <w:bottom w:w="0" w:type="dxa"/>
              <w:right w:w="10" w:type="dxa"/>
            </w:tcMar>
            <w:vAlign w:val="center"/>
          </w:tcPr>
          <w:p w14:paraId="60041A73">
            <w:pPr>
              <w:spacing w:line="276" w:lineRule="auto"/>
              <w:jc w:val="center"/>
              <w:rPr>
                <w:rFonts w:hint="eastAsia" w:ascii="仿宋" w:hAnsi="仿宋" w:eastAsia="仿宋" w:cs="仿宋"/>
                <w:sz w:val="24"/>
                <w:szCs w:val="24"/>
              </w:rPr>
            </w:pPr>
            <w:r>
              <w:rPr>
                <w:rFonts w:hint="eastAsia" w:ascii="仿宋" w:hAnsi="仿宋" w:eastAsia="仿宋" w:cs="仿宋"/>
                <w:sz w:val="24"/>
                <w:szCs w:val="24"/>
              </w:rPr>
              <w:t>设备名称</w:t>
            </w:r>
          </w:p>
        </w:tc>
        <w:tc>
          <w:tcPr>
            <w:tcW w:w="7601" w:type="dxa"/>
            <w:tcMar>
              <w:top w:w="0" w:type="dxa"/>
              <w:left w:w="10" w:type="dxa"/>
              <w:bottom w:w="0" w:type="dxa"/>
              <w:right w:w="10" w:type="dxa"/>
            </w:tcMar>
            <w:vAlign w:val="center"/>
          </w:tcPr>
          <w:p w14:paraId="18778B84">
            <w:pPr>
              <w:spacing w:line="276" w:lineRule="auto"/>
              <w:jc w:val="center"/>
              <w:rPr>
                <w:rFonts w:hint="eastAsia" w:ascii="仿宋" w:hAnsi="仿宋" w:eastAsia="仿宋" w:cs="仿宋"/>
                <w:sz w:val="24"/>
                <w:szCs w:val="24"/>
              </w:rPr>
            </w:pPr>
            <w:r>
              <w:rPr>
                <w:rFonts w:hint="eastAsia" w:ascii="仿宋" w:hAnsi="仿宋" w:eastAsia="仿宋" w:cs="仿宋"/>
                <w:sz w:val="24"/>
                <w:szCs w:val="24"/>
              </w:rPr>
              <w:t>设备规格、技术参数</w:t>
            </w:r>
          </w:p>
        </w:tc>
        <w:tc>
          <w:tcPr>
            <w:tcW w:w="570" w:type="dxa"/>
            <w:tcMar>
              <w:top w:w="0" w:type="dxa"/>
              <w:left w:w="10" w:type="dxa"/>
              <w:bottom w:w="0" w:type="dxa"/>
              <w:right w:w="10" w:type="dxa"/>
            </w:tcMar>
            <w:vAlign w:val="center"/>
          </w:tcPr>
          <w:p w14:paraId="3D300359">
            <w:pPr>
              <w:spacing w:line="276" w:lineRule="auto"/>
              <w:jc w:val="center"/>
              <w:rPr>
                <w:rFonts w:hint="eastAsia" w:ascii="仿宋" w:hAnsi="仿宋" w:eastAsia="仿宋" w:cs="仿宋"/>
                <w:sz w:val="24"/>
                <w:szCs w:val="24"/>
              </w:rPr>
            </w:pPr>
            <w:r>
              <w:rPr>
                <w:rFonts w:hint="eastAsia" w:ascii="仿宋" w:hAnsi="仿宋" w:eastAsia="仿宋" w:cs="仿宋"/>
                <w:sz w:val="24"/>
                <w:szCs w:val="24"/>
              </w:rPr>
              <w:t>数量</w:t>
            </w:r>
          </w:p>
        </w:tc>
      </w:tr>
      <w:tr w14:paraId="3933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401" w:hRule="atLeast"/>
          <w:jc w:val="center"/>
        </w:trPr>
        <w:tc>
          <w:tcPr>
            <w:tcW w:w="582" w:type="dxa"/>
            <w:tcMar>
              <w:top w:w="0" w:type="dxa"/>
              <w:left w:w="10" w:type="dxa"/>
              <w:bottom w:w="0" w:type="dxa"/>
              <w:right w:w="10" w:type="dxa"/>
            </w:tcMar>
            <w:vAlign w:val="center"/>
          </w:tcPr>
          <w:p w14:paraId="0D309C3C">
            <w:pPr>
              <w:spacing w:line="276"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300" w:type="dxa"/>
            <w:tcMar>
              <w:top w:w="0" w:type="dxa"/>
              <w:left w:w="10" w:type="dxa"/>
              <w:bottom w:w="0" w:type="dxa"/>
              <w:right w:w="10" w:type="dxa"/>
            </w:tcMar>
            <w:vAlign w:val="center"/>
          </w:tcPr>
          <w:p w14:paraId="1CE657E1">
            <w:pPr>
              <w:spacing w:line="276" w:lineRule="auto"/>
              <w:jc w:val="center"/>
              <w:rPr>
                <w:rFonts w:hint="eastAsia" w:ascii="仿宋" w:hAnsi="仿宋" w:eastAsia="仿宋" w:cs="仿宋"/>
                <w:sz w:val="24"/>
                <w:szCs w:val="24"/>
              </w:rPr>
            </w:pPr>
            <w:r>
              <w:rPr>
                <w:rFonts w:hint="eastAsia" w:ascii="仿宋" w:hAnsi="仿宋" w:eastAsia="仿宋" w:cs="仿宋"/>
                <w:sz w:val="24"/>
                <w:szCs w:val="24"/>
              </w:rPr>
              <w:t>审计实训仿真平台</w:t>
            </w:r>
          </w:p>
        </w:tc>
        <w:tc>
          <w:tcPr>
            <w:tcW w:w="7601" w:type="dxa"/>
            <w:tcMar>
              <w:top w:w="0" w:type="dxa"/>
              <w:left w:w="10" w:type="dxa"/>
              <w:bottom w:w="0" w:type="dxa"/>
              <w:right w:w="10" w:type="dxa"/>
            </w:tcMar>
            <w:vAlign w:val="center"/>
          </w:tcPr>
          <w:p w14:paraId="4BC6216A">
            <w:pPr>
              <w:outlineLvl w:val="1"/>
              <w:rPr>
                <w:rFonts w:hint="eastAsia" w:ascii="仿宋" w:hAnsi="仿宋" w:eastAsia="仿宋" w:cs="仿宋"/>
                <w:b/>
                <w:sz w:val="24"/>
                <w:szCs w:val="24"/>
              </w:rPr>
            </w:pPr>
            <w:r>
              <w:rPr>
                <w:rFonts w:hint="eastAsia" w:ascii="仿宋" w:hAnsi="仿宋" w:eastAsia="仿宋" w:cs="仿宋"/>
                <w:b/>
                <w:sz w:val="24"/>
                <w:szCs w:val="24"/>
              </w:rPr>
              <w:t>一、审计实训教学软件（1套）</w:t>
            </w:r>
          </w:p>
          <w:p w14:paraId="0AFCAEB6">
            <w:pPr>
              <w:outlineLvl w:val="1"/>
              <w:rPr>
                <w:rFonts w:hint="eastAsia" w:ascii="仿宋" w:hAnsi="仿宋" w:eastAsia="仿宋" w:cs="仿宋"/>
                <w:b/>
                <w:sz w:val="24"/>
                <w:szCs w:val="24"/>
              </w:rPr>
            </w:pPr>
            <w:r>
              <w:rPr>
                <w:rFonts w:hint="eastAsia" w:ascii="仿宋" w:hAnsi="仿宋" w:eastAsia="仿宋" w:cs="仿宋"/>
                <w:b/>
                <w:sz w:val="24"/>
                <w:szCs w:val="24"/>
              </w:rPr>
              <w:t>（一）制造商或供应商商务要求</w:t>
            </w:r>
          </w:p>
          <w:p w14:paraId="1AC72F5F">
            <w:pPr>
              <w:spacing w:line="288" w:lineRule="auto"/>
              <w:ind w:left="38" w:leftChars="18"/>
              <w:jc w:val="left"/>
              <w:rPr>
                <w:rFonts w:hint="eastAsia" w:ascii="仿宋" w:hAnsi="仿宋" w:eastAsia="仿宋" w:cs="仿宋"/>
                <w:sz w:val="24"/>
                <w:szCs w:val="24"/>
              </w:rPr>
            </w:pPr>
            <w:bookmarkStart w:id="4" w:name="OLE_LINK19"/>
            <w:r>
              <w:rPr>
                <w:rFonts w:hint="eastAsia" w:ascii="仿宋" w:hAnsi="仿宋" w:eastAsia="仿宋" w:cs="仿宋"/>
                <w:sz w:val="24"/>
                <w:szCs w:val="24"/>
              </w:rPr>
              <w:t>1.供应商应是在国家相关行政管理部门注册且为独立法人机构，经营范围涵盖本次采购范围的国内合法企业；</w:t>
            </w:r>
          </w:p>
          <w:p w14:paraId="66710C47">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 xml:space="preserve">2.供应商提供的货物不是供应商生产或拥有的，则必须具有所投产品制造厂商提供的正式授权书； </w:t>
            </w:r>
          </w:p>
          <w:p w14:paraId="19F0E58C">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3.供应商</w:t>
            </w:r>
            <w:bookmarkStart w:id="5" w:name="OLE_LINK4"/>
            <w:r>
              <w:rPr>
                <w:rFonts w:hint="eastAsia" w:ascii="仿宋" w:hAnsi="仿宋" w:eastAsia="仿宋" w:cs="仿宋"/>
                <w:sz w:val="24"/>
                <w:szCs w:val="24"/>
              </w:rPr>
              <w:t>或所投产品厂家近2年</w:t>
            </w:r>
            <w:bookmarkEnd w:id="5"/>
            <w:r>
              <w:rPr>
                <w:rFonts w:hint="eastAsia" w:ascii="仿宋" w:hAnsi="仿宋" w:eastAsia="仿宋" w:cs="仿宋"/>
                <w:sz w:val="24"/>
                <w:szCs w:val="24"/>
              </w:rPr>
              <w:t>内本地区同类项目业绩不少于3个；</w:t>
            </w:r>
          </w:p>
          <w:p w14:paraId="49A2F8F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4.供应商提供所投产品厂家的计算机软件著作权登记证书；</w:t>
            </w:r>
          </w:p>
          <w:p w14:paraId="0C35CBB0">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5.供应商或所投产品厂家须在湖北省内设有完善的售后服务机构，能提供紧急服务和本地化技术服务；</w:t>
            </w:r>
            <w:bookmarkEnd w:id="4"/>
          </w:p>
          <w:p w14:paraId="06D3DC02">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6.须对软件★条款提供现场演示；</w:t>
            </w:r>
          </w:p>
          <w:p w14:paraId="08ABEDA1">
            <w:pPr>
              <w:outlineLvl w:val="1"/>
              <w:rPr>
                <w:rFonts w:hint="eastAsia" w:ascii="仿宋" w:hAnsi="仿宋" w:eastAsia="仿宋" w:cs="仿宋"/>
                <w:b/>
                <w:sz w:val="24"/>
                <w:szCs w:val="24"/>
              </w:rPr>
            </w:pPr>
            <w:r>
              <w:rPr>
                <w:rFonts w:hint="eastAsia" w:ascii="仿宋" w:hAnsi="仿宋" w:eastAsia="仿宋" w:cs="仿宋"/>
                <w:b/>
                <w:sz w:val="24"/>
                <w:szCs w:val="24"/>
              </w:rPr>
              <w:t>（二）售后服务体系要求</w:t>
            </w:r>
          </w:p>
          <w:p w14:paraId="46C7F61B">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1.负责对教学系统的免费现场安装、调试及指导和服务，在教学使用地提供至少2天的技术培训以及首次现场课程辅助教学。</w:t>
            </w:r>
          </w:p>
          <w:p w14:paraId="003941A1">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2.负责在规定的安装调试期内完成工作，所产生一切费用由卖方承担。如因卖方责任而造成的延期，所有因安装延期而产生的费用由卖方负担。</w:t>
            </w:r>
          </w:p>
          <w:p w14:paraId="2F976C78">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3.产品质保期为3年。质保期内软件免费升级、终身使用。在货物验收后运行的质保期内，负责因货物本身质量问题导致的各种故障的免费技术服务及维修。质量保证期后，维修、更换配件等只收成本费。</w:t>
            </w:r>
          </w:p>
          <w:p w14:paraId="5F290D29">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44EAD6C1">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5.终身免费技术咨询。</w:t>
            </w:r>
          </w:p>
          <w:p w14:paraId="003D836F">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6.对授课教师、实验人员提供免费培训。</w:t>
            </w:r>
          </w:p>
          <w:p w14:paraId="52E7DA38">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7.服务响应时间承诺：接到软件故障报告后1小时内响应，1个工作日内解决，其费用由卖方负担。</w:t>
            </w:r>
          </w:p>
          <w:p w14:paraId="23AB6639">
            <w:pPr>
              <w:tabs>
                <w:tab w:val="left" w:pos="640"/>
              </w:tabs>
              <w:outlineLvl w:val="1"/>
              <w:rPr>
                <w:rFonts w:hint="eastAsia" w:ascii="仿宋" w:hAnsi="仿宋" w:eastAsia="仿宋" w:cs="仿宋"/>
                <w:b/>
                <w:sz w:val="24"/>
                <w:szCs w:val="24"/>
              </w:rPr>
            </w:pPr>
            <w:r>
              <w:rPr>
                <w:rFonts w:hint="eastAsia" w:ascii="仿宋" w:hAnsi="仿宋" w:eastAsia="仿宋" w:cs="仿宋"/>
                <w:b/>
                <w:sz w:val="24"/>
                <w:szCs w:val="24"/>
              </w:rPr>
              <w:t>（三）审计实训教学软件整体要求</w:t>
            </w:r>
          </w:p>
          <w:p w14:paraId="017D4C56">
            <w:pPr>
              <w:spacing w:line="288" w:lineRule="auto"/>
              <w:ind w:firstLine="45" w:firstLineChars="19"/>
              <w:jc w:val="left"/>
              <w:rPr>
                <w:rFonts w:hint="eastAsia" w:ascii="仿宋" w:hAnsi="仿宋" w:eastAsia="仿宋" w:cs="仿宋"/>
                <w:sz w:val="24"/>
                <w:szCs w:val="24"/>
              </w:rPr>
            </w:pPr>
            <w:r>
              <w:rPr>
                <w:rFonts w:hint="eastAsia" w:ascii="仿宋" w:hAnsi="仿宋" w:eastAsia="仿宋" w:cs="仿宋"/>
                <w:sz w:val="24"/>
                <w:szCs w:val="24"/>
              </w:rPr>
              <w:t>一、技术参数</w:t>
            </w:r>
          </w:p>
          <w:p w14:paraId="3EE6387D">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1．软件采用B/S结构，只需在服务器上安装，客户机无需安装任何插件即可运行。</w:t>
            </w:r>
          </w:p>
          <w:p w14:paraId="2111E490">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2．软件采用ASP.NET(C#)编程语言进行开发，兼容主流windows系统，运行于IIS+SQL Server2008及以上。</w:t>
            </w:r>
          </w:p>
          <w:p w14:paraId="467A1C6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3．支持PC客户端，学员在PC端无需安装其它软件、组件、插件等；系统支持Google Chrome、IE9、IE10及以上等国内占比较大的主流浏览器。</w:t>
            </w:r>
          </w:p>
          <w:p w14:paraId="559FE505">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4．软件服务器端与操作端可以全系统部署在用户设备上,能在用户不接连外部网络情况下独立运行。</w:t>
            </w:r>
          </w:p>
          <w:p w14:paraId="7221CF99">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5．软件采用的是经典且成熟的三层架构模式开发的，适合用户二次开发及后期项目维护与更新。</w:t>
            </w:r>
          </w:p>
          <w:p w14:paraId="1626182C">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6．支持用户的底稿数据存档，软件采用分布式和多线程技术对用户底稿数据进行截图存档，便于用户进行底稿证据查询。</w:t>
            </w:r>
          </w:p>
          <w:p w14:paraId="4E79FF90">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7．软件采用XML处理技术对凭证资料数据进行导入导出，便于用户进行外部资料数据采集，便于数据沉淀和更新迭代。</w:t>
            </w:r>
          </w:p>
          <w:p w14:paraId="394E1E44">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8．软件前端有采用javascript 超库jQuery，可以很好的兼容各种需要用到的插件。</w:t>
            </w:r>
          </w:p>
          <w:p w14:paraId="04EBE03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9．软件前端使用分屏插件技术，支持学生做题时资料与试题分屏显示，便于学生更好的学习和操作审计工作底稿。</w:t>
            </w:r>
          </w:p>
          <w:p w14:paraId="6805325C">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10．充分考虑互联网技术的迭代发展，前端菜用HTML5语言技术和流媒体插件，满足用户浏览PDF文档和视频文件。</w:t>
            </w:r>
          </w:p>
          <w:p w14:paraId="2A69DCD9">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二、功能参数</w:t>
            </w:r>
          </w:p>
          <w:p w14:paraId="3A4A3A1D">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1．系统中工作底稿的盖章功能，可以根据用户不同案例的需要，实现自定义盖章，并且章可以设置只读模式。</w:t>
            </w:r>
          </w:p>
          <w:p w14:paraId="4CA436BD">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2．软件集声音、动画、图片等多媒体形式为一体的多窗口友好界面，资料页面与做题页面相对独立，可以自由拖动，方便学生实习。</w:t>
            </w:r>
          </w:p>
          <w:p w14:paraId="52D4C015">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3．软件提供永久性档案功能，可上传图片、word文件作为永久性档案。</w:t>
            </w:r>
          </w:p>
          <w:p w14:paraId="46D9D42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4．软件有课程数据管理功能。教师可以根据自己的需要，进行设置案例、设置案例讲解、设置审计准则、设置工作底稿讲解等操作。</w:t>
            </w:r>
          </w:p>
          <w:p w14:paraId="2DAC8C9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5．软件提供综合实训时可以直接查看审计准则的功能。</w:t>
            </w:r>
          </w:p>
          <w:p w14:paraId="4F99A3E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在软件使用中，提供教务管理平台，教师可控制相关教学模块是否开放给学生进行实训，可指定学生在哪一个层面进行实习，实现对实习学生、实习内容的全方位监控，及时获得学习效果反馈。教务管理平台还提供自动评分的在线考试功能，实现无纸化教学、实验和考核。</w:t>
            </w:r>
          </w:p>
          <w:p w14:paraId="543230E8">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实训实现全自动评分之余，还可采用人工评分，或者自动评分+人工评分方式。普通实训时，自动评分根据智能判断评分。分组实训时，综合案例自动评分根据智能判断和实训流程评分，流程权重可以自定义；分项案例根据智能判断评分。</w:t>
            </w:r>
          </w:p>
          <w:p w14:paraId="248B198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8．软件能根据学生的掌握程度不同，提供自我测试层（学生可以查看和核对参考答案和帮助）和自我考试层（学生不可以查看参考答案和帮助，独立完成练习）。</w:t>
            </w:r>
          </w:p>
          <w:p w14:paraId="075E7948">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三、业务参数</w:t>
            </w:r>
          </w:p>
          <w:p w14:paraId="4E5F6598">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软件提供不少于5个分项实训。分项实训包括：货币资金内部控制案例、存货内部控制案例、库存现金监盘案例、银行存款审计案例、应付账款审计案例，帮助学生掌握审计方法和审计程序，锻炼学生从资料中提取关键信息，形成结论的审计分析能力。</w:t>
            </w:r>
          </w:p>
          <w:p w14:paraId="3CC95907">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2．★分项实训提供不少于5个3D动画视频。实训资料以3D动态动画视频情景结合文字说明形式再现，寓教于乐，让学生如身临其境、印象深刻。</w:t>
            </w:r>
          </w:p>
          <w:p w14:paraId="13692F19">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软件提供综合实训。实训内容包括：初步业务活动工作底稿、风险评估工作底稿、进一步审计工作底稿、其他项目工作底稿、业务完成阶段工作底稿、审计报告、永久性档案、其他类型工作底稿、疑点库、审计档案。实训案例来源于数据库中已有的案例，学生根据已提供的资料实训。提供一家有色金属制造企业案例。囊括了15个月的总账、三栏明细账、日记账、多栏明细账、数量金额明细账、资产负债表、利润表、科目余额表、科目汇总表、企业的全套工作制度、审计过程中与相关工作人员【治理层、总经理、财务经理、采购经理、人力资源经理、生产经理、销售经理、主管生产的副总】访谈记录、工作记录；其他数据包括企业基本信息、企业制度、会计师事务所的资质、上一年度审计报告。其中账簿数据提供追溯查看功能，可以从账簿上的任何一笔业务追溯至记账凭证，再从记账凭证追溯至原始凭证。所有的案例数据符合最新的会计政策与税法政策。</w:t>
            </w:r>
          </w:p>
          <w:p w14:paraId="4540857C">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综合实训案例按照真实审计提供完整审计5个流程，意在考核学生制定审计工作程序、确定审计方法的能力、对审计证据的收集与鉴别能力、对审计工作底稿的编制能力、规避审计风险的初步能力、对被审计单位内部控制制度的评审能力、对被审计单位经济业务审计的专业能力、审计报告的撰写与分析能力。</w:t>
            </w:r>
          </w:p>
          <w:p w14:paraId="574DB0C0">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5．★综合实训进一步审计工作底稿可以选择按科目性质实训，也可以选择按审计循环实训。</w:t>
            </w:r>
          </w:p>
          <w:p w14:paraId="5A829342">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6．★实训过程中，软件提供审计工作底稿模板、审计报告模版，学生可以根据审计结果自由切换审计报告类型，不必由老师控制。</w:t>
            </w:r>
          </w:p>
          <w:p w14:paraId="5E583F30">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实训过程中，软件提供智能分析功能。审计分析包括会计科目分析、对凭证的借贷平衡、冲销、异常对应、异常结转检查、现金坐支检查、大额凭证检查、科目发生额趋势波动检查、审计抽样、财务分析（包括账龄分析）等、让学生迅速在提供的资料中找出所需数据，在分析页面保存疑点（疑点库功能），并且可以生成底稿（存为底稿功能），实现智能审计。</w:t>
            </w:r>
          </w:p>
          <w:p w14:paraId="7A7D0A12">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8．★实训过程中，提供仿真函证功能，学生可以发送函证，并收到老师预设答案的回函，更加贴近审计实务。</w:t>
            </w:r>
          </w:p>
          <w:p w14:paraId="29F85B7D">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9．软件除提供完整的审计底稿，并添加了更为灵活的“其他类型工作底稿”，方便教师为教学需求设计的关于审计方法等没有具体对应底稿的案例。</w:t>
            </w:r>
          </w:p>
          <w:p w14:paraId="37DA8322">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10．★软件提供疑点分析、疑点库功能，疑点库分为账簿疑点库、凭证疑点库、其他疑点库，在疑点库可以直接对添加的疑点内容进行修改补充，不必回到添加疑点的页面修改。不同疑点库内的内容可以按期间和会计科目分类，能够更加便捷地找到所需资料。疑点库里的内容可以存为底稿、可导出分析内容。教师可预置疑点，可根据学生对审计知识的掌握，确定教学时预先添加的疑点数量。</w:t>
            </w:r>
          </w:p>
          <w:p w14:paraId="54E57615">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11．★学生在寻找和查看资料、填写底稿的过程中，可以把底稿复制成新底稿或者存为新的底稿。新底稿可以选择存放位置，并且按照存放目录自动生成索引号。</w:t>
            </w:r>
          </w:p>
          <w:p w14:paraId="01EFEF74">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12．★可将资料存为审计证据，附在对应工作底稿之后，全程仿真实训，完成实训后可以归档，生成审计档案。</w:t>
            </w:r>
          </w:p>
          <w:p w14:paraId="6CC1F73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13．★学生在模拟学习中可采用一人多岗独立实训或一人一岗合作实训两种模式。一人多岗模式下，学生单独完成项目实训，无需其他同学审核。一人一岗模式下，需建立了分组才能进入学习，各小组成员进行分岗实训，方便用户在学习的过程中，明确各职务之间的责任。</w:t>
            </w:r>
          </w:p>
          <w:p w14:paraId="68364DDA">
            <w:pPr>
              <w:outlineLvl w:val="1"/>
              <w:rPr>
                <w:rFonts w:hint="eastAsia" w:ascii="仿宋" w:hAnsi="仿宋" w:eastAsia="仿宋" w:cs="仿宋"/>
                <w:b/>
                <w:sz w:val="24"/>
                <w:szCs w:val="24"/>
              </w:rPr>
            </w:pPr>
            <w:r>
              <w:rPr>
                <w:rFonts w:hint="eastAsia" w:ascii="仿宋" w:hAnsi="仿宋" w:eastAsia="仿宋" w:cs="仿宋"/>
                <w:b/>
                <w:sz w:val="24"/>
                <w:szCs w:val="24"/>
              </w:rPr>
              <w:t>二、大数据审计虚拟仿真平台软件（1套）</w:t>
            </w:r>
          </w:p>
          <w:p w14:paraId="0655969D">
            <w:pPr>
              <w:outlineLvl w:val="1"/>
              <w:rPr>
                <w:rFonts w:hint="eastAsia" w:ascii="仿宋" w:hAnsi="仿宋" w:eastAsia="仿宋" w:cs="仿宋"/>
                <w:b/>
                <w:sz w:val="24"/>
                <w:szCs w:val="24"/>
              </w:rPr>
            </w:pPr>
            <w:r>
              <w:rPr>
                <w:rFonts w:hint="eastAsia" w:ascii="仿宋" w:hAnsi="仿宋" w:eastAsia="仿宋" w:cs="仿宋"/>
                <w:b/>
                <w:sz w:val="24"/>
                <w:szCs w:val="24"/>
              </w:rPr>
              <w:t>（一）制造商或供应商商务要求</w:t>
            </w:r>
          </w:p>
          <w:p w14:paraId="1C7FC68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1.供应商应是在国家相关行政管理部门注册且为独立法人机构，经营范围涵盖本次采购范围的国内合法企业；</w:t>
            </w:r>
          </w:p>
          <w:p w14:paraId="6CEFD31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 xml:space="preserve">2.供应商提供的货物不是供应商生产或拥有的，则必须具有所投产品制造厂商提供的正式授权书； </w:t>
            </w:r>
          </w:p>
          <w:p w14:paraId="47817C48">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3.供应商或所投产品厂家近2年内本地区同类项目业绩不少于3个；</w:t>
            </w:r>
          </w:p>
          <w:p w14:paraId="4D89C41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4.供应商提供所投产品厂家的计算机软件著作权登记证书；</w:t>
            </w:r>
          </w:p>
          <w:p w14:paraId="3933F8A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5.供应商或所投产品厂家须在湖北省内设有完善的售后服务机构，能提供紧急服务和本地化技术服务；</w:t>
            </w:r>
          </w:p>
          <w:p w14:paraId="19D6D9C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6.须对软件★条款提供现场演示；</w:t>
            </w:r>
          </w:p>
          <w:p w14:paraId="626DD9EC">
            <w:pPr>
              <w:outlineLvl w:val="1"/>
              <w:rPr>
                <w:rFonts w:hint="eastAsia" w:ascii="仿宋" w:hAnsi="仿宋" w:eastAsia="仿宋" w:cs="仿宋"/>
                <w:b/>
                <w:sz w:val="24"/>
                <w:szCs w:val="24"/>
              </w:rPr>
            </w:pPr>
            <w:r>
              <w:rPr>
                <w:rFonts w:hint="eastAsia" w:ascii="仿宋" w:hAnsi="仿宋" w:eastAsia="仿宋" w:cs="仿宋"/>
                <w:b/>
                <w:sz w:val="24"/>
                <w:szCs w:val="24"/>
              </w:rPr>
              <w:t>（二）售后服务体系要求</w:t>
            </w:r>
          </w:p>
          <w:p w14:paraId="2B4E0DC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1.负责对教学系统的免费现场安装、调试及指导和服务，在教学使用地提供至少2天的技术培训以及首次现场课程辅助教学。</w:t>
            </w:r>
          </w:p>
          <w:p w14:paraId="6C733301">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2.负责在规定的安装调试期内完成工作，所产生一切费用由卖方承担。如因卖方责任而造成的延期，所有因安装延期而产生的费用由卖方负担。</w:t>
            </w:r>
          </w:p>
          <w:p w14:paraId="1A78918C">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3.产品质保期为3年。质保期内软件免费升级、终身使用。在货物验收后运行的质保期内，负责因货物本身质量问题导致的各种故障的免费技术服务及维修。质量保证期后，维修、更换配件等只收成本费。</w:t>
            </w:r>
          </w:p>
          <w:p w14:paraId="1E7455CB">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700C0D7B">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5.终身免费技术咨询。</w:t>
            </w:r>
          </w:p>
          <w:p w14:paraId="196E257E">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6.对授课教师、实验人员提供免费培训。</w:t>
            </w:r>
          </w:p>
          <w:p w14:paraId="31A1055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7.服务响应时间承诺：接到软件故障报告后1小时内响应，1个工作日内解决，其费用由卖方负担。</w:t>
            </w:r>
          </w:p>
          <w:p w14:paraId="0957187A">
            <w:pPr>
              <w:tabs>
                <w:tab w:val="left" w:pos="640"/>
              </w:tabs>
              <w:outlineLvl w:val="1"/>
              <w:rPr>
                <w:rFonts w:hint="eastAsia" w:ascii="仿宋" w:hAnsi="仿宋" w:eastAsia="仿宋" w:cs="仿宋"/>
                <w:b/>
                <w:sz w:val="24"/>
                <w:szCs w:val="24"/>
              </w:rPr>
            </w:pPr>
            <w:r>
              <w:rPr>
                <w:rFonts w:hint="eastAsia" w:ascii="仿宋" w:hAnsi="仿宋" w:eastAsia="仿宋" w:cs="仿宋"/>
                <w:b/>
                <w:sz w:val="24"/>
                <w:szCs w:val="24"/>
              </w:rPr>
              <w:t>（三）大数据审计虚拟仿真平台软件整体要求</w:t>
            </w:r>
          </w:p>
          <w:p w14:paraId="6D52BE6F">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1.平台提供以大数据技术为基础、以虚拟仿真形式模拟审计的真实场景，案例内容多样化。</w:t>
            </w:r>
          </w:p>
          <w:p w14:paraId="1A60986B">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2.平台提供引导功能：引导学生了解实验目的、了解具体审计步骤，熟悉平台每个功能点的作用。</w:t>
            </w:r>
          </w:p>
          <w:p w14:paraId="06C4108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3.平台提供知识点功能：帮助学生了解审计实验过程中每步骤所涉及的知识点。</w:t>
            </w:r>
          </w:p>
          <w:p w14:paraId="2ABA9B61">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4.平台提供工具条功能：</w:t>
            </w:r>
          </w:p>
          <w:p w14:paraId="53E7A2A4">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（1）审计准则：提供中国注册会计师审计准则，审计准则内容全面、涵盖审计工作的每个阶段。</w:t>
            </w:r>
          </w:p>
          <w:p w14:paraId="7857559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（2）资料查看：提供被审计单位背景资料、相关制度、行业信息、账簿资料、报表、前期资料等相关结构化与非结构化数据。</w:t>
            </w:r>
          </w:p>
          <w:p w14:paraId="497AED1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（3）计算器：提供计算器功能，便于在审计实验过程中的数据运算。</w:t>
            </w:r>
          </w:p>
          <w:p w14:paraId="0BE6CC4D">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大数据分析：提供大数据分析功能，包括大数据横向分析、大数据纵向分析、大数据文本分析、大数据财务分析，利用可视化分析技术，分析企业战略风险、经营风险，寻找企业可能存在的相关风险点。识别审计异常点，确定问题“方向”。</w:t>
            </w:r>
          </w:p>
          <w:p w14:paraId="30384EE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分析模型：提供反映货币资金账户趋势波动分析模型数据、货币资金收支来源分析模型数据、货币资金收支流向分析模型数据、货币资金占比分析模型数据、货币资金大额检查分析模型数据、行业指标分析模型数据，采用可视化的技术对分析结果进行展示。</w:t>
            </w:r>
          </w:p>
          <w:p w14:paraId="7B3714AE">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（6）存为档案、存为底稿：可以将实验过程中搜集的审计证据存为审计档案或审计底稿，便于仿真式分析总结。</w:t>
            </w:r>
          </w:p>
          <w:p w14:paraId="0B215C96">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（7）实验报告：平台实现全自动评分，并生成实验报告，便于学生查看实验总成绩、各步骤实验结果、步骤得分、反馈意见等。</w:t>
            </w:r>
          </w:p>
          <w:p w14:paraId="19E9A642">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（8）盖章：提供仿真式盖章功能，询证函盖章、审计报告盖章。</w:t>
            </w:r>
          </w:p>
          <w:p w14:paraId="339BFB8F">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（9）操作指引：提供操作指引功能。</w:t>
            </w:r>
          </w:p>
          <w:p w14:paraId="020E5EA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（10）公共资料：提供审计过程中所涉及到的数据资料。</w:t>
            </w:r>
          </w:p>
          <w:p w14:paraId="7C525EB2">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5.平台提供实验简介视频、实验引导视频，更加直观的展示实验内容。</w:t>
            </w:r>
          </w:p>
          <w:p w14:paraId="7F07C2AE">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★6.平台运用大数据云计算技术，对学生答案实施自然语义分析，给予自动评分。</w:t>
            </w:r>
          </w:p>
          <w:p w14:paraId="67C49341">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★7.平台运用人工智能技术，根据学生的回答提供智能机器人助教给予线上一对一的线上指导，引导学生掌握各个环节的知识与技能。</w:t>
            </w:r>
          </w:p>
          <w:p w14:paraId="7B52232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8.货币资金审计案例一个，提供14个月的会计资料以及完善的背景资料，基于大数据技术的基础上、采用虚拟仿真情景，呈现真实的货币资金审计全过程。审计人员通过仿真式对话下发审计工作任务，分步骤引导学生开展审计工作。</w:t>
            </w:r>
          </w:p>
          <w:p w14:paraId="191BFA72">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（1）仿真式分析行业状况、经营活动、筹资活动、投资活动相关背景资料，填写相关分析结论，初步了解案例背景。</w:t>
            </w:r>
          </w:p>
          <w:p w14:paraId="6163A860">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（2）通过财务分析模型对经营风险、债务风险相关指标进行分析，并运用可视化技术对分析结果进行展示，引导学生对经营风险和债务风险进行评估。</w:t>
            </w:r>
          </w:p>
          <w:p w14:paraId="473F5739">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（3）引导学生了解货币资金内部控制制度测试、库存现金审计、银行存款审计、其他货币资金审计的流程、审计事项、关键点。</w:t>
            </w:r>
          </w:p>
          <w:p w14:paraId="6401F235">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（4）模拟实验场景，通过人机交互进行询问、观察和检查，在仿真式场景下进行货币资金内部控制制度测试。</w:t>
            </w:r>
          </w:p>
          <w:p w14:paraId="39B5C68D">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（5）分别开展对库存现金账账核对、库存现金监盘、抽取并检查大额现金收支凭证、检查银行存款账账是否相符、其他货币资金审计的实质性分析，填写实质性分析结果、完成相关审计工作底稿。</w:t>
            </w:r>
          </w:p>
          <w:p w14:paraId="0D8EED43">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★（6）仿真式填写银行询证函，并对银行询证函进行盖章、发函，根据回函情况进一步执行审计程序，根据审计具体情况出具审计调整。</w:t>
            </w:r>
          </w:p>
          <w:p w14:paraId="3F30D53E">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（7）根据审计结果，提出调整意见，出具审计结论。根据前述步骤的审计情况，提出调整，并编写相关的审计工作底稿。</w:t>
            </w:r>
          </w:p>
          <w:p w14:paraId="4F718450">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（8）撰写实验报告：学生需要根据实验反馈结果，进行分析实验中存在的问题以及原因，以及对今后审计工作改进的意见。帮助学生汇总货币审计工作存在的问题以及改进的方向。</w:t>
            </w:r>
          </w:p>
          <w:p w14:paraId="50EDD444">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★9. 销售与收款循环审计案例一个，提供14个月的会计资料以及完善的背景资料，在大数据技术下开展审计工作，呈现真实的大数据舞弊审计全过程。利用可视化工具，通过“大数据横向对比”与“大数据财务分析”双向对比企业与同行业的指标差异，分析得知企业规模发展与业绩发展不匹配，利润可能存在问题。</w:t>
            </w:r>
          </w:p>
          <w:p w14:paraId="4EF5216C">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★（1）平台提供专业模式和非专业模式两种操作模式。专业模式：进行审计职业判断、得出审计结论是作答主观题；非专业模式：进行审计职业判断、得出审计结论是作答客观题。</w:t>
            </w:r>
          </w:p>
          <w:p w14:paraId="2D101B94">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（2）平台提供3D虚拟仿真式交互式场景，并实现场景对话配音，将场景、人物、声音融为一体，呈现高度仿真式的审计场景，助学生了解案例背景，并认识审计流程、了解数据式审计的基本步骤、开展审计工作。</w:t>
            </w:r>
          </w:p>
          <w:p w14:paraId="5DFED375">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（3）引导学生利用Python技术进行服装行业大数据的采集，并将采集的数据通过可视化技术工具展现。</w:t>
            </w:r>
          </w:p>
          <w:p w14:paraId="14030F6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4）通过大数据分析工具，利用可视化分析技术，分析企业战略风险、经营风险，寻找企业可能存在的相关风险点。识别销售收入异常，确定问题“方向”。根据分析结果进行风险评估，识别和评估财务报表层次以及认定层次的重大错报风险，并选相应择审计策略应对措施。</w:t>
            </w:r>
          </w:p>
          <w:p w14:paraId="54731C2A">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5）分别开展对主营业务收入与主营业务成本、主营业务收入与销售费用、应收账款的实质性分析，如：水电费环比与同比；直营门店、网店、加盟店销售收入与销售成本检查分析；工资派发比较；销售记录情况；销售费用增长比较；应收账款分析比较等。通过分析得出部分加盟商的运输费用存在异常，且运输费存在异常的加盟商应收账款增长幅度较大。</w:t>
            </w:r>
          </w:p>
          <w:p w14:paraId="5F0C5C1C">
            <w:pPr>
              <w:spacing w:line="288" w:lineRule="auto"/>
              <w:ind w:left="38" w:leftChars="18"/>
              <w:jc w:val="left"/>
              <w:rPr>
                <w:rFonts w:hint="eastAsia" w:ascii="仿宋" w:hAnsi="仿宋" w:eastAsia="仿宋" w:cs="仿宋"/>
                <w:sz w:val="24"/>
                <w:szCs w:val="24"/>
              </w:rPr>
            </w:pPr>
            <w:r>
              <w:rPr>
                <w:rFonts w:hint="eastAsia" w:ascii="仿宋" w:hAnsi="仿宋" w:eastAsia="仿宋" w:cs="仿宋"/>
                <w:sz w:val="24"/>
                <w:szCs w:val="24"/>
              </w:rPr>
              <w:t>★（6）仿真式互动函证，分析企业应收账款，确定要函证的对象、函证方式、发函方式，仿真式盖章并发函，根据收到的回函进行进一步审计延伸取证。运输费用存在异常的加盟商未回函，通过进一步审计延伸取证得到的回复较为牵强，从而判断加盟商销售收入存在异常。</w:t>
            </w:r>
          </w:p>
          <w:p w14:paraId="0EDBCC7D">
            <w:pPr>
              <w:numPr>
                <w:ilvl w:val="0"/>
                <w:numId w:val="1"/>
              </w:numPr>
              <w:spacing w:line="288" w:lineRule="auto"/>
              <w:ind w:left="38" w:leftChars="18"/>
              <w:jc w:val="left"/>
              <w:rPr>
                <w:rFonts w:hint="default"/>
                <w:lang w:val="en-US" w:eastAsia="zh-CN"/>
              </w:rPr>
            </w:pPr>
            <w:r>
              <w:rPr>
                <w:rFonts w:hint="eastAsia" w:ascii="仿宋" w:hAnsi="仿宋" w:eastAsia="仿宋" w:cs="仿宋"/>
                <w:sz w:val="24"/>
                <w:szCs w:val="24"/>
              </w:rPr>
              <w:t>仿真式互动出具审计意见，理解不同情景下出具审计意见的类型，在开放式场景下出具审计意见。</w:t>
            </w:r>
          </w:p>
          <w:p w14:paraId="7A26739C">
            <w:pPr>
              <w:numPr>
                <w:ilvl w:val="0"/>
                <w:numId w:val="0"/>
              </w:numPr>
              <w:spacing w:line="288" w:lineRule="auto"/>
              <w:jc w:val="left"/>
              <w:rPr>
                <w:rFonts w:hint="default"/>
                <w:sz w:val="24"/>
                <w:szCs w:val="24"/>
                <w:lang w:val="en-US" w:eastAsia="zh-CN"/>
              </w:rPr>
            </w:pPr>
            <w:r>
              <w:rPr>
                <w:rFonts w:hint="eastAsia" w:ascii="仿宋" w:hAnsi="仿宋" w:eastAsia="仿宋" w:cs="仿宋"/>
                <w:b/>
                <w:sz w:val="24"/>
                <w:szCs w:val="24"/>
                <w:lang w:val="en-US" w:eastAsia="zh-CN"/>
              </w:rPr>
              <w:t>三、试用要求：</w:t>
            </w:r>
          </w:p>
          <w:p w14:paraId="13E5E891">
            <w:pPr>
              <w:numPr>
                <w:ilvl w:val="0"/>
                <w:numId w:val="0"/>
              </w:numPr>
              <w:spacing w:line="288" w:lineRule="auto"/>
              <w:jc w:val="left"/>
              <w:rPr>
                <w:rFonts w:hint="default"/>
                <w:lang w:val="en-US" w:eastAsia="zh-CN"/>
              </w:rPr>
            </w:pPr>
            <w:r>
              <w:rPr>
                <w:rFonts w:hint="eastAsia" w:ascii="仿宋" w:hAnsi="仿宋" w:eastAsia="仿宋"/>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14:paraId="5F757C6E">
            <w:pPr>
              <w:spacing w:line="276" w:lineRule="auto"/>
              <w:jc w:val="center"/>
              <w:rPr>
                <w:rFonts w:hint="eastAsia" w:ascii="仿宋" w:hAnsi="仿宋" w:eastAsia="仿宋" w:cs="仿宋"/>
                <w:sz w:val="24"/>
                <w:szCs w:val="24"/>
              </w:rPr>
            </w:pPr>
            <w:r>
              <w:rPr>
                <w:rFonts w:hint="eastAsia" w:ascii="仿宋" w:hAnsi="仿宋" w:eastAsia="仿宋" w:cs="仿宋"/>
                <w:sz w:val="24"/>
                <w:szCs w:val="24"/>
              </w:rPr>
              <w:t>分别1套，共2套</w:t>
            </w:r>
          </w:p>
        </w:tc>
      </w:tr>
    </w:tbl>
    <w:p w14:paraId="797C0CA0">
      <w:pPr>
        <w:spacing w:line="380" w:lineRule="exact"/>
        <w:rPr>
          <w:rFonts w:ascii="仿宋" w:hAnsi="仿宋" w:eastAsia="仿宋"/>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60A065"/>
    <w:multiLevelType w:val="singleLevel"/>
    <w:tmpl w:val="1E60A065"/>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0MzFkOWU3NTVjNjAzOWI5M2U5NTg0Yjg0Mjg1N2QifQ=="/>
  </w:docVars>
  <w:rsids>
    <w:rsidRoot w:val="00DD77DF"/>
    <w:rsid w:val="00003E06"/>
    <w:rsid w:val="00057A12"/>
    <w:rsid w:val="00070040"/>
    <w:rsid w:val="000702B9"/>
    <w:rsid w:val="00091795"/>
    <w:rsid w:val="000B1D4A"/>
    <w:rsid w:val="000C0B4B"/>
    <w:rsid w:val="000D1B1B"/>
    <w:rsid w:val="00111EFC"/>
    <w:rsid w:val="00114AA3"/>
    <w:rsid w:val="0012342B"/>
    <w:rsid w:val="00127F7C"/>
    <w:rsid w:val="001401EA"/>
    <w:rsid w:val="00172759"/>
    <w:rsid w:val="00173D7F"/>
    <w:rsid w:val="00184EFF"/>
    <w:rsid w:val="00185CB0"/>
    <w:rsid w:val="001C100B"/>
    <w:rsid w:val="001D35A9"/>
    <w:rsid w:val="001F4662"/>
    <w:rsid w:val="002D37DC"/>
    <w:rsid w:val="002E3506"/>
    <w:rsid w:val="002E7EFD"/>
    <w:rsid w:val="002F30E8"/>
    <w:rsid w:val="00326E8F"/>
    <w:rsid w:val="0035405B"/>
    <w:rsid w:val="00354AF6"/>
    <w:rsid w:val="003678EC"/>
    <w:rsid w:val="00384CD8"/>
    <w:rsid w:val="003A242A"/>
    <w:rsid w:val="003D67EF"/>
    <w:rsid w:val="003F5670"/>
    <w:rsid w:val="004138C0"/>
    <w:rsid w:val="00421101"/>
    <w:rsid w:val="00457B04"/>
    <w:rsid w:val="004718C5"/>
    <w:rsid w:val="00487B01"/>
    <w:rsid w:val="00495935"/>
    <w:rsid w:val="004A3173"/>
    <w:rsid w:val="004E4388"/>
    <w:rsid w:val="004F2119"/>
    <w:rsid w:val="00512D54"/>
    <w:rsid w:val="00515C49"/>
    <w:rsid w:val="00532DD8"/>
    <w:rsid w:val="00533D14"/>
    <w:rsid w:val="00537B3B"/>
    <w:rsid w:val="0055090A"/>
    <w:rsid w:val="00571CCA"/>
    <w:rsid w:val="005748E6"/>
    <w:rsid w:val="005875A6"/>
    <w:rsid w:val="00597D68"/>
    <w:rsid w:val="005A136B"/>
    <w:rsid w:val="005C5E7E"/>
    <w:rsid w:val="005C6A46"/>
    <w:rsid w:val="005F4292"/>
    <w:rsid w:val="0060268D"/>
    <w:rsid w:val="00607678"/>
    <w:rsid w:val="00625633"/>
    <w:rsid w:val="006A58B4"/>
    <w:rsid w:val="006B04E2"/>
    <w:rsid w:val="006C784E"/>
    <w:rsid w:val="006D067E"/>
    <w:rsid w:val="006E0E9D"/>
    <w:rsid w:val="006E5DEF"/>
    <w:rsid w:val="007115C1"/>
    <w:rsid w:val="00726D9D"/>
    <w:rsid w:val="00742ADD"/>
    <w:rsid w:val="00746C19"/>
    <w:rsid w:val="00752C24"/>
    <w:rsid w:val="00752FA5"/>
    <w:rsid w:val="00765E9E"/>
    <w:rsid w:val="007A101C"/>
    <w:rsid w:val="00805155"/>
    <w:rsid w:val="00805A89"/>
    <w:rsid w:val="00806320"/>
    <w:rsid w:val="00807F88"/>
    <w:rsid w:val="00830FBA"/>
    <w:rsid w:val="00835AE4"/>
    <w:rsid w:val="008500D5"/>
    <w:rsid w:val="008910C2"/>
    <w:rsid w:val="0089492E"/>
    <w:rsid w:val="00897B30"/>
    <w:rsid w:val="008D2B61"/>
    <w:rsid w:val="008E6AD1"/>
    <w:rsid w:val="008F0AA1"/>
    <w:rsid w:val="008F1FB7"/>
    <w:rsid w:val="00900839"/>
    <w:rsid w:val="00953A0B"/>
    <w:rsid w:val="009574DB"/>
    <w:rsid w:val="009654F5"/>
    <w:rsid w:val="00996666"/>
    <w:rsid w:val="009D0887"/>
    <w:rsid w:val="009D4C11"/>
    <w:rsid w:val="00A05661"/>
    <w:rsid w:val="00A2469D"/>
    <w:rsid w:val="00A26960"/>
    <w:rsid w:val="00A35CEB"/>
    <w:rsid w:val="00A45071"/>
    <w:rsid w:val="00A76D06"/>
    <w:rsid w:val="00A836D9"/>
    <w:rsid w:val="00AC2940"/>
    <w:rsid w:val="00AC37F3"/>
    <w:rsid w:val="00AF7E1A"/>
    <w:rsid w:val="00B1092F"/>
    <w:rsid w:val="00B237DB"/>
    <w:rsid w:val="00B378D9"/>
    <w:rsid w:val="00B524B5"/>
    <w:rsid w:val="00B54887"/>
    <w:rsid w:val="00B80CFA"/>
    <w:rsid w:val="00B90393"/>
    <w:rsid w:val="00BA42AD"/>
    <w:rsid w:val="00BB651C"/>
    <w:rsid w:val="00BB7F5D"/>
    <w:rsid w:val="00BF3F93"/>
    <w:rsid w:val="00BF70A6"/>
    <w:rsid w:val="00BF7405"/>
    <w:rsid w:val="00C20864"/>
    <w:rsid w:val="00C455CD"/>
    <w:rsid w:val="00CC73C8"/>
    <w:rsid w:val="00CE645F"/>
    <w:rsid w:val="00D152C1"/>
    <w:rsid w:val="00D263FE"/>
    <w:rsid w:val="00D27301"/>
    <w:rsid w:val="00D46BF3"/>
    <w:rsid w:val="00D81024"/>
    <w:rsid w:val="00DA126F"/>
    <w:rsid w:val="00DB48B5"/>
    <w:rsid w:val="00DC0E5E"/>
    <w:rsid w:val="00DD77DF"/>
    <w:rsid w:val="00DE0172"/>
    <w:rsid w:val="00E01BA6"/>
    <w:rsid w:val="00E74E35"/>
    <w:rsid w:val="00E80B84"/>
    <w:rsid w:val="00E95602"/>
    <w:rsid w:val="00EC7811"/>
    <w:rsid w:val="00EF763D"/>
    <w:rsid w:val="00F324E7"/>
    <w:rsid w:val="00F424CE"/>
    <w:rsid w:val="00F77E5F"/>
    <w:rsid w:val="00F855E6"/>
    <w:rsid w:val="1D1B00E7"/>
    <w:rsid w:val="40E6595D"/>
    <w:rsid w:val="694B4F86"/>
    <w:rsid w:val="75A52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paragraph" w:styleId="3">
    <w:name w:val="heading 4"/>
    <w:basedOn w:val="1"/>
    <w:next w:val="1"/>
    <w:link w:val="20"/>
    <w:autoRedefine/>
    <w:qFormat/>
    <w:uiPriority w:val="99"/>
    <w:pPr>
      <w:tabs>
        <w:tab w:val="left" w:pos="0"/>
      </w:tabs>
      <w:autoSpaceDE w:val="0"/>
      <w:autoSpaceDN w:val="0"/>
      <w:outlineLvl w:val="3"/>
    </w:pPr>
    <w:rPr>
      <w:rFonts w:ascii="Calibri" w:hAnsi="Calibri" w:eastAsia="宋体" w:cs="Times New Roman"/>
      <w:szCs w:val="2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next w:val="1"/>
    <w:link w:val="15"/>
    <w:autoRedefine/>
    <w:qFormat/>
    <w:uiPriority w:val="1"/>
    <w:pPr>
      <w:ind w:left="142"/>
    </w:pPr>
    <w:rPr>
      <w:kern w:val="0"/>
      <w:sz w:val="20"/>
      <w:szCs w:val="21"/>
    </w:rPr>
  </w:style>
  <w:style w:type="paragraph" w:styleId="5">
    <w:name w:val="Balloon Text"/>
    <w:basedOn w:val="1"/>
    <w:link w:val="16"/>
    <w:semiHidden/>
    <w:unhideWhenUsed/>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22"/>
    <w:rPr>
      <w:b/>
    </w:rPr>
  </w:style>
  <w:style w:type="character" w:customStyle="1" w:styleId="13">
    <w:name w:val="页眉 Char"/>
    <w:basedOn w:val="11"/>
    <w:link w:val="7"/>
    <w:qFormat/>
    <w:uiPriority w:val="99"/>
    <w:rPr>
      <w:sz w:val="18"/>
      <w:szCs w:val="18"/>
    </w:rPr>
  </w:style>
  <w:style w:type="character" w:customStyle="1" w:styleId="14">
    <w:name w:val="页脚 Char"/>
    <w:basedOn w:val="11"/>
    <w:link w:val="6"/>
    <w:uiPriority w:val="99"/>
    <w:rPr>
      <w:sz w:val="18"/>
      <w:szCs w:val="18"/>
    </w:rPr>
  </w:style>
  <w:style w:type="character" w:customStyle="1" w:styleId="15">
    <w:name w:val="正文文本 Char"/>
    <w:basedOn w:val="11"/>
    <w:link w:val="4"/>
    <w:uiPriority w:val="1"/>
    <w:rPr>
      <w:kern w:val="0"/>
      <w:sz w:val="20"/>
      <w:szCs w:val="21"/>
    </w:rPr>
  </w:style>
  <w:style w:type="character" w:customStyle="1" w:styleId="16">
    <w:name w:val="批注框文本 Char"/>
    <w:basedOn w:val="11"/>
    <w:link w:val="5"/>
    <w:semiHidden/>
    <w:uiPriority w:val="99"/>
    <w:rPr>
      <w:sz w:val="18"/>
      <w:szCs w:val="18"/>
    </w:rPr>
  </w:style>
  <w:style w:type="paragraph" w:customStyle="1" w:styleId="17">
    <w:name w:val="列出段落1"/>
    <w:basedOn w:val="1"/>
    <w:autoRedefine/>
    <w:qFormat/>
    <w:uiPriority w:val="99"/>
    <w:pPr>
      <w:ind w:firstLine="420" w:firstLineChars="200"/>
    </w:pPr>
    <w:rPr>
      <w:rFonts w:ascii="Calibri" w:hAnsi="Calibri" w:eastAsia="宋体" w:cs="Times New Roman"/>
    </w:rPr>
  </w:style>
  <w:style w:type="character" w:customStyle="1" w:styleId="18">
    <w:name w:val="font51"/>
    <w:basedOn w:val="11"/>
    <w:autoRedefine/>
    <w:qFormat/>
    <w:uiPriority w:val="0"/>
    <w:rPr>
      <w:rFonts w:hint="eastAsia" w:ascii="微软雅黑" w:hAnsi="微软雅黑" w:eastAsia="微软雅黑" w:cs="微软雅黑"/>
      <w:color w:val="000000"/>
      <w:sz w:val="20"/>
      <w:szCs w:val="20"/>
      <w:u w:val="none"/>
    </w:rPr>
  </w:style>
  <w:style w:type="paragraph" w:styleId="19">
    <w:name w:val="List Paragraph"/>
    <w:basedOn w:val="1"/>
    <w:qFormat/>
    <w:uiPriority w:val="34"/>
    <w:pPr>
      <w:ind w:firstLine="420" w:firstLineChars="200"/>
    </w:pPr>
  </w:style>
  <w:style w:type="character" w:customStyle="1" w:styleId="20">
    <w:name w:val="标题 4 Char"/>
    <w:basedOn w:val="11"/>
    <w:link w:val="3"/>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98AA637-9156-4130-B205-BCED88B1E149}">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7972</Words>
  <Characters>8210</Characters>
  <Lines>101</Lines>
  <Paragraphs>28</Paragraphs>
  <TotalTime>7</TotalTime>
  <ScaleCrop>false</ScaleCrop>
  <LinksUpToDate>false</LinksUpToDate>
  <CharactersWithSpaces>8319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2024-04-09T12:19:00Z</dcterms:created>
  <dc:creator>资产部</dc:creator>
  <cp:lastModifiedBy>Le'novo</cp:lastModifiedBy>
  <dcterms:modified xsi:type="dcterms:W3CDTF">2024-08-03T15:32:13Z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8220532768DB465A9E014035E1B12645_12</vt:lpwstr>
  </property>
</Properties>
</file>