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552825" cy="3340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114" cy="334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471C14" w:rsidRPr="00471C14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日新楼人工智能产教融合基地三楼</w:t>
      </w:r>
      <w:r w:rsidR="0063100D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服务器</w:t>
      </w:r>
      <w:r w:rsidR="00471C14" w:rsidRPr="00471C14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B501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2</w:t>
      </w:r>
      <w:r w:rsidR="0063100D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4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471C14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十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471C14" w:rsidRPr="00471C14">
        <w:rPr>
          <w:rFonts w:ascii="仿宋" w:eastAsia="仿宋" w:hAnsi="仿宋" w:hint="eastAsia"/>
          <w:sz w:val="24"/>
          <w:u w:val="single"/>
        </w:rPr>
        <w:t>日新楼人工智能产教融合基地三楼</w:t>
      </w:r>
      <w:r w:rsidR="0063100D">
        <w:rPr>
          <w:rFonts w:ascii="仿宋" w:eastAsia="仿宋" w:hAnsi="仿宋" w:hint="eastAsia"/>
          <w:sz w:val="24"/>
          <w:u w:val="single"/>
        </w:rPr>
        <w:t>服务器</w:t>
      </w:r>
      <w:r w:rsidR="00471C14" w:rsidRPr="00471C14">
        <w:rPr>
          <w:rFonts w:ascii="仿宋" w:eastAsia="仿宋" w:hAnsi="仿宋" w:hint="eastAsia"/>
          <w:sz w:val="24"/>
          <w:u w:val="single"/>
        </w:rPr>
        <w:t>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471C14" w:rsidRPr="00471C14">
        <w:rPr>
          <w:rFonts w:ascii="仿宋" w:eastAsia="仿宋" w:hAnsi="仿宋" w:hint="eastAsia"/>
          <w:sz w:val="24"/>
          <w:u w:val="single"/>
        </w:rPr>
        <w:t>日新楼人工智能产教融合基地三楼</w:t>
      </w:r>
      <w:r w:rsidR="0063100D">
        <w:rPr>
          <w:rFonts w:ascii="仿宋" w:eastAsia="仿宋" w:hAnsi="仿宋" w:hint="eastAsia"/>
          <w:sz w:val="24"/>
          <w:u w:val="single"/>
        </w:rPr>
        <w:t>服务器</w:t>
      </w:r>
      <w:r w:rsidR="00471C14" w:rsidRPr="00471C14">
        <w:rPr>
          <w:rFonts w:ascii="仿宋" w:eastAsia="仿宋" w:hAnsi="仿宋" w:hint="eastAsia"/>
          <w:sz w:val="24"/>
          <w:u w:val="single"/>
        </w:rPr>
        <w:t>采购项目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5877DD"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月</w:t>
      </w:r>
      <w:r w:rsidR="00244CE9">
        <w:rPr>
          <w:rFonts w:ascii="仿宋" w:eastAsia="仿宋" w:hAnsi="仿宋" w:hint="eastAsia"/>
          <w:sz w:val="24"/>
        </w:rPr>
        <w:t>2</w:t>
      </w:r>
      <w:r w:rsidR="00AC4F16">
        <w:rPr>
          <w:rFonts w:ascii="仿宋" w:eastAsia="仿宋" w:hAnsi="仿宋" w:hint="eastAsia"/>
          <w:sz w:val="24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63100D">
        <w:rPr>
          <w:rFonts w:ascii="仿宋" w:eastAsia="仿宋" w:hAnsi="仿宋" w:hint="eastAsia"/>
          <w:sz w:val="24"/>
          <w:u w:val="single"/>
        </w:rPr>
        <w:t>4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</w:t>
      </w:r>
      <w:r w:rsidR="00B50150">
        <w:rPr>
          <w:rFonts w:ascii="仿宋" w:eastAsia="仿宋" w:hAnsi="仿宋" w:hint="eastAsia"/>
          <w:sz w:val="24"/>
        </w:rPr>
        <w:t>杜老师  13995699032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AB3F41">
        <w:rPr>
          <w:rFonts w:ascii="仿宋" w:eastAsia="仿宋" w:hAnsi="仿宋" w:hint="eastAsia"/>
          <w:sz w:val="24"/>
          <w:u w:val="single"/>
        </w:rPr>
        <w:t>叁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:rsidR="00B50150" w:rsidRDefault="00B50150" w:rsidP="00B50150">
      <w:pPr>
        <w:spacing w:line="420" w:lineRule="exact"/>
        <w:ind w:firstLineChars="700" w:firstLine="168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4"/>
        </w:rPr>
        <w:t>技术部分：梅老师</w:t>
      </w:r>
      <w:r>
        <w:rPr>
          <w:rFonts w:ascii="仿宋" w:eastAsia="仿宋" w:hAnsi="仿宋" w:hint="eastAsia"/>
          <w:sz w:val="24"/>
        </w:rPr>
        <w:t xml:space="preserve">  </w:t>
      </w:r>
      <w:r w:rsidRPr="000B47AE">
        <w:rPr>
          <w:rFonts w:ascii="仿宋" w:eastAsia="仿宋" w:hAnsi="仿宋"/>
          <w:sz w:val="24"/>
        </w:rPr>
        <w:t>13971431067</w:t>
      </w:r>
    </w:p>
    <w:p w:rsidR="008D2F21" w:rsidRDefault="008D2F21">
      <w:pPr>
        <w:spacing w:line="440" w:lineRule="exact"/>
        <w:jc w:val="center"/>
        <w:rPr>
          <w:rFonts w:ascii="仿宋" w:eastAsia="仿宋" w:hAnsi="仿宋"/>
          <w:sz w:val="24"/>
        </w:r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FE3A9D" w:rsidRDefault="00FE3A9D"/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:rsidR="00B50150" w:rsidRDefault="00B50150" w:rsidP="00B50150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B50150">
        <w:rPr>
          <w:rFonts w:ascii="仿宋" w:eastAsia="仿宋" w:hAnsi="仿宋" w:hint="eastAsia"/>
          <w:b/>
          <w:sz w:val="24"/>
          <w:szCs w:val="24"/>
        </w:rPr>
        <w:t>一、设备清单</w:t>
      </w:r>
      <w:r w:rsidR="00AF770C">
        <w:rPr>
          <w:rFonts w:ascii="仿宋" w:eastAsia="仿宋" w:hAnsi="仿宋" w:hint="eastAsia"/>
          <w:b/>
          <w:sz w:val="24"/>
          <w:szCs w:val="24"/>
        </w:rPr>
        <w:t>及参数</w:t>
      </w:r>
      <w:r w:rsidRPr="00B50150">
        <w:rPr>
          <w:rFonts w:ascii="仿宋" w:eastAsia="仿宋" w:hAnsi="仿宋" w:hint="eastAsia"/>
          <w:b/>
          <w:sz w:val="24"/>
          <w:szCs w:val="24"/>
        </w:rPr>
        <w:t>：</w:t>
      </w:r>
    </w:p>
    <w:tbl>
      <w:tblPr>
        <w:tblW w:w="5406" w:type="pct"/>
        <w:tblInd w:w="-459" w:type="dxa"/>
        <w:tblLook w:val="04A0" w:firstRow="1" w:lastRow="0" w:firstColumn="1" w:lastColumn="0" w:noHBand="0" w:noVBand="1"/>
      </w:tblPr>
      <w:tblGrid>
        <w:gridCol w:w="1134"/>
        <w:gridCol w:w="851"/>
        <w:gridCol w:w="674"/>
        <w:gridCol w:w="6555"/>
      </w:tblGrid>
      <w:tr w:rsidR="0063100D" w:rsidRPr="0063100D" w:rsidTr="0063100D">
        <w:trPr>
          <w:trHeight w:val="52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63100D" w:rsidRPr="0063100D" w:rsidRDefault="0063100D">
            <w:pPr>
              <w:jc w:val="center"/>
              <w:rPr>
                <w:rFonts w:ascii="仿宋" w:eastAsia="仿宋" w:hAnsi="仿宋" w:cs="宋体"/>
                <w:b/>
                <w:bCs/>
                <w:color w:val="FFFFFF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b/>
                <w:bCs/>
                <w:color w:val="FFFFFF"/>
                <w:sz w:val="24"/>
                <w:szCs w:val="24"/>
              </w:rPr>
              <w:t>设备名称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63100D" w:rsidRPr="0063100D" w:rsidRDefault="0063100D">
            <w:pPr>
              <w:jc w:val="center"/>
              <w:rPr>
                <w:rFonts w:ascii="仿宋" w:eastAsia="仿宋" w:hAnsi="仿宋" w:cs="宋体"/>
                <w:b/>
                <w:bCs/>
                <w:color w:val="FFFFFF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b/>
                <w:bCs/>
                <w:color w:val="FFFFFF"/>
                <w:sz w:val="24"/>
                <w:szCs w:val="24"/>
              </w:rPr>
              <w:t>单位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63100D" w:rsidRPr="0063100D" w:rsidRDefault="0063100D">
            <w:pPr>
              <w:jc w:val="center"/>
              <w:rPr>
                <w:rFonts w:ascii="仿宋" w:eastAsia="仿宋" w:hAnsi="仿宋" w:cs="宋体"/>
                <w:b/>
                <w:bCs/>
                <w:color w:val="FFFFFF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b/>
                <w:bCs/>
                <w:color w:val="FFFFFF"/>
                <w:sz w:val="24"/>
                <w:szCs w:val="24"/>
              </w:rPr>
              <w:t>数量</w:t>
            </w:r>
          </w:p>
        </w:tc>
        <w:tc>
          <w:tcPr>
            <w:tcW w:w="3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:rsidR="0063100D" w:rsidRPr="0063100D" w:rsidRDefault="0063100D">
            <w:pPr>
              <w:jc w:val="center"/>
              <w:rPr>
                <w:rFonts w:ascii="仿宋" w:eastAsia="仿宋" w:hAnsi="仿宋" w:cs="宋体"/>
                <w:b/>
                <w:bCs/>
                <w:color w:val="FFFFFF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b/>
                <w:bCs/>
                <w:color w:val="FFFFFF"/>
                <w:sz w:val="24"/>
                <w:szCs w:val="24"/>
              </w:rPr>
              <w:t>参数</w:t>
            </w:r>
          </w:p>
        </w:tc>
      </w:tr>
      <w:tr w:rsidR="0063100D" w:rsidRPr="0063100D" w:rsidTr="0063100D">
        <w:trPr>
          <w:trHeight w:val="4279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0D" w:rsidRPr="0063100D" w:rsidRDefault="0063100D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sz w:val="24"/>
                <w:szCs w:val="24"/>
              </w:rPr>
              <w:t>服务器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0D" w:rsidRPr="0063100D" w:rsidRDefault="0063100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0D" w:rsidRPr="0063100D" w:rsidRDefault="0063100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0D" w:rsidRPr="0063100D" w:rsidRDefault="0063100D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1、CPU:2颗 Intel Xeon Scalable Processor 5th Gen 4510 处理器；核心频率：基频 2.4 GHz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2、内存：256GB DDR5 RDIMM 内存；运行速率：5600MT/s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3、GPU：1块 NVIDIA L40 显卡；显存：48GB GDDR6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4、存储：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（1）系统盘：2块 480GB NVMe SSD，需由独立的硬件RAID卡配置为RAID 1，确保系统高可用性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（2）数据盘：5块 2.4TB 2.5英寸 10000转 SAS 硬盘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（3）缓存盘：1块 1.6TB PCIe NVMe 企业级混合读写SSD，用作缓存加速层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（4）存储控制器：1张 12Gbps SAS HBA直通阵列卡，用于连接SAS数据盘与NVMe缓存盘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5、网络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（1）管理网卡：板载2个 1GbE RJ45 电口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（2）数据网卡：2块 Broadcom 57414 双端口 25Gb SFP+ 光纤网卡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（3）光模块：随卡提供原厂兼容的 25G 多模光模块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6、电源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（1）规格与数量：2个 额定功率 ≥ 2400W 的热插拔电源模块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（2）要求：效率不低于80 PLUS铂金，支持 1+1 冗余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7、机柜与辅材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（1）42U标准机柜：深度≥1000mm，含静音、防尘设计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（2）机柜配件：配套服务器导轨、机柜PDU电源分配单元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（3）LC-LC 多模光纤跳线 (OM4)，数量足额；光纤配线架、理线架；六类或超六类非屏蔽网线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8、软件与服务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（1）虚拟化软件：厂商需提供并协助部署原厂或授权的企业级服务器虚拟化解决方案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（2）质保：提供 三年原厂上门保修服务 (7x24，4小时响应)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（3）要求：所有硬件组件必须为原厂全新正品，并提供官方质保凭证</w:t>
            </w:r>
          </w:p>
        </w:tc>
      </w:tr>
      <w:tr w:rsidR="0063100D" w:rsidRPr="0063100D" w:rsidTr="0063100D">
        <w:trPr>
          <w:trHeight w:val="369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0D" w:rsidRPr="0063100D" w:rsidRDefault="0063100D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算力服务器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0D" w:rsidRPr="0063100D" w:rsidRDefault="0063100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0D" w:rsidRPr="0063100D" w:rsidRDefault="0063100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0D" w:rsidRPr="0063100D" w:rsidRDefault="0063100D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1、CPU:2颗 Intel Xeon Scalable Processor 6530 处理器,基频 2.1 GHz,32核/颗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2、内存：DDR5 64G*16，支持后续内存容量扩展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3、GPU：8块 NVIDIA GeForce RTX 4090 显卡；显存：24GB GDDR6X/块；功耗450W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4、存储：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（1）系统盘：2块 960GB 2.5英寸 SSD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（2）高速数据盘：3块 3.84TB 2.5英寸 SSD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（3）大容量数据盘：5块 8TB 7.2K RPM 2.5英寸/3.5英寸 SATA 硬盘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（4） 阵列卡：型号为 LSI 9460-8i (含2GB缓存)，支持RAID 0/1/5/6等，用于管理SATA硬盘阵列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5、网络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（1）管理网卡：1块 双端口 10/100/1000Mbps 自适应电口网卡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（2）数据网卡：2块 双端口 SFP+ 10Gb 光纤网卡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（3）光模块：需随网卡提供兼容的万兆多模光模块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6、电源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（1）规格与数量：配置4个 2000W 80 PLUS铂金及以上效率的热插拔电源模块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（2）要求：支持 N+N 冗余，为整机（特别是8块GPU）提供稳定、充足的电力供应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7、软件与服务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（1）虚拟化软件：厂商需提供并协助部署原厂或授权的服务器虚拟化解决方案。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（2）质保：提供 三年原厂上门保修服务 (7x24，4小时响应)</w:t>
            </w:r>
            <w:r w:rsidRPr="00631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br/>
              <w:t>（3）要求：所有硬件组件必须为原厂全新正品，并提供官方质保凭证</w:t>
            </w:r>
          </w:p>
        </w:tc>
      </w:tr>
    </w:tbl>
    <w:p w:rsidR="00AF770C" w:rsidRPr="00B50150" w:rsidRDefault="00AF770C" w:rsidP="00B50150">
      <w:pPr>
        <w:spacing w:line="440" w:lineRule="exact"/>
        <w:rPr>
          <w:rFonts w:ascii="仿宋" w:eastAsia="仿宋" w:hAnsi="仿宋"/>
          <w:b/>
          <w:sz w:val="24"/>
          <w:szCs w:val="24"/>
        </w:rPr>
      </w:pPr>
    </w:p>
    <w:sectPr w:rsidR="00AF770C" w:rsidRPr="00B50150" w:rsidSect="00AF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44CE9"/>
    <w:rsid w:val="00270F03"/>
    <w:rsid w:val="002D37DC"/>
    <w:rsid w:val="002E3506"/>
    <w:rsid w:val="002E7EFD"/>
    <w:rsid w:val="002F30E8"/>
    <w:rsid w:val="00326E8F"/>
    <w:rsid w:val="00332B0E"/>
    <w:rsid w:val="00350994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71C14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7699F"/>
    <w:rsid w:val="005875A6"/>
    <w:rsid w:val="005877DD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3100D"/>
    <w:rsid w:val="00660397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1049"/>
    <w:rsid w:val="00765E9E"/>
    <w:rsid w:val="00776BB9"/>
    <w:rsid w:val="00780359"/>
    <w:rsid w:val="00783832"/>
    <w:rsid w:val="00793C17"/>
    <w:rsid w:val="007A101C"/>
    <w:rsid w:val="007B6D87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5071"/>
    <w:rsid w:val="00A76D06"/>
    <w:rsid w:val="00A807E5"/>
    <w:rsid w:val="00A836D9"/>
    <w:rsid w:val="00A971C6"/>
    <w:rsid w:val="00AB3F41"/>
    <w:rsid w:val="00AC2940"/>
    <w:rsid w:val="00AC37F3"/>
    <w:rsid w:val="00AC4F16"/>
    <w:rsid w:val="00AF770C"/>
    <w:rsid w:val="00AF7E1A"/>
    <w:rsid w:val="00B034F6"/>
    <w:rsid w:val="00B1092F"/>
    <w:rsid w:val="00B237DB"/>
    <w:rsid w:val="00B378D9"/>
    <w:rsid w:val="00B44715"/>
    <w:rsid w:val="00B50150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058B1"/>
    <w:rsid w:val="00C20864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95602"/>
    <w:rsid w:val="00EA4553"/>
    <w:rsid w:val="00EC7811"/>
    <w:rsid w:val="00EF763D"/>
    <w:rsid w:val="00F324E7"/>
    <w:rsid w:val="00F424CE"/>
    <w:rsid w:val="00F77E5F"/>
    <w:rsid w:val="00F855E6"/>
    <w:rsid w:val="00F90573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1ACA2-13D5-48D4-80FA-89CD73BF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191</cp:revision>
  <dcterms:created xsi:type="dcterms:W3CDTF">2024-04-09T12:19:00Z</dcterms:created>
  <dcterms:modified xsi:type="dcterms:W3CDTF">2025-10-20T01:34:00Z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