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3F97">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武 汉 工 商 学 院</w:t>
      </w:r>
    </w:p>
    <w:p w14:paraId="55AD438B">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招（议）标文件</w:t>
      </w:r>
    </w:p>
    <w:p w14:paraId="73051478">
      <w:pPr>
        <w:pStyle w:val="8"/>
        <w:spacing w:before="0" w:beforeAutospacing="0" w:after="0" w:afterAutospacing="0" w:line="450" w:lineRule="atLeast"/>
        <w:jc w:val="both"/>
        <w:rPr>
          <w:sz w:val="21"/>
          <w:szCs w:val="21"/>
        </w:rPr>
      </w:pPr>
      <w:r>
        <w:rPr>
          <w:rStyle w:val="12"/>
          <w:rFonts w:hint="eastAsia"/>
          <w:color w:val="333333"/>
          <w:sz w:val="28"/>
          <w:szCs w:val="28"/>
          <w:shd w:val="clear" w:color="auto" w:fill="FFFFFF"/>
        </w:rPr>
        <w:t> </w:t>
      </w:r>
    </w:p>
    <w:p w14:paraId="24EF2BCB">
      <w:pPr>
        <w:pStyle w:val="8"/>
        <w:spacing w:before="0" w:beforeAutospacing="0" w:after="0" w:afterAutospacing="0" w:line="450" w:lineRule="atLeast"/>
        <w:jc w:val="center"/>
        <w:rPr>
          <w:sz w:val="21"/>
          <w:szCs w:val="21"/>
        </w:rPr>
      </w:pPr>
      <w:r>
        <w:drawing>
          <wp:inline distT="0" distB="0" distL="0" distR="0">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14:paraId="066FC951">
      <w:pPr>
        <w:pStyle w:val="8"/>
        <w:spacing w:before="0" w:beforeAutospacing="0" w:after="0" w:afterAutospacing="0" w:line="450" w:lineRule="atLeast"/>
        <w:jc w:val="both"/>
        <w:rPr>
          <w:sz w:val="21"/>
          <w:szCs w:val="21"/>
        </w:rPr>
      </w:pPr>
      <w:r>
        <w:rPr>
          <w:rStyle w:val="12"/>
          <w:rFonts w:hint="eastAsia"/>
          <w:color w:val="333333"/>
          <w:sz w:val="44"/>
          <w:szCs w:val="44"/>
          <w:shd w:val="clear" w:color="auto" w:fill="FFFFFF"/>
        </w:rPr>
        <w:t> </w:t>
      </w:r>
    </w:p>
    <w:p w14:paraId="098ACF3E">
      <w:pPr>
        <w:pStyle w:val="8"/>
        <w:spacing w:before="0" w:beforeAutospacing="0" w:after="156" w:afterLines="50" w:afterAutospacing="0" w:line="450" w:lineRule="atLeast"/>
        <w:ind w:left="3030" w:hanging="3030" w:hangingChars="686"/>
        <w:jc w:val="both"/>
        <w:rPr>
          <w:sz w:val="21"/>
          <w:szCs w:val="21"/>
          <w:u w:val="single"/>
        </w:rPr>
      </w:pPr>
      <w:r>
        <w:rPr>
          <w:rStyle w:val="12"/>
          <w:rFonts w:hint="eastAsia"/>
          <w:color w:val="333333"/>
          <w:sz w:val="44"/>
          <w:szCs w:val="44"/>
          <w:shd w:val="clear" w:color="auto" w:fill="FFFFFF"/>
        </w:rPr>
        <w:t>招标项目名称:</w:t>
      </w:r>
      <w:r>
        <w:rPr>
          <w:rStyle w:val="12"/>
          <w:rFonts w:hint="eastAsia"/>
          <w:color w:val="333333"/>
          <w:sz w:val="28"/>
          <w:szCs w:val="28"/>
          <w:u w:val="single"/>
          <w:shd w:val="clear" w:color="auto" w:fill="FFFFFF"/>
          <w:lang w:val="en-US" w:eastAsia="zh-CN"/>
        </w:rPr>
        <w:t>数据统计软件采购</w:t>
      </w:r>
      <w:r>
        <w:rPr>
          <w:rStyle w:val="12"/>
          <w:rFonts w:hint="eastAsia"/>
          <w:color w:val="333333"/>
          <w:sz w:val="28"/>
          <w:szCs w:val="28"/>
          <w:u w:val="single"/>
          <w:shd w:val="clear" w:color="auto" w:fill="FFFFFF"/>
        </w:rPr>
        <w:t xml:space="preserve">项目                      </w:t>
      </w:r>
    </w:p>
    <w:p w14:paraId="2D3D3473">
      <w:pPr>
        <w:pStyle w:val="8"/>
        <w:spacing w:before="0" w:beforeAutospacing="0" w:after="156" w:afterLines="50" w:afterAutospacing="0" w:line="450" w:lineRule="atLeast"/>
        <w:jc w:val="both"/>
        <w:rPr>
          <w:sz w:val="28"/>
          <w:szCs w:val="28"/>
          <w:u w:val="single"/>
        </w:rPr>
      </w:pPr>
      <w:r>
        <w:rPr>
          <w:rStyle w:val="12"/>
          <w:rFonts w:hint="eastAsia"/>
          <w:color w:val="333333"/>
          <w:sz w:val="44"/>
          <w:szCs w:val="44"/>
          <w:shd w:val="clear" w:color="auto" w:fill="FFFFFF"/>
        </w:rPr>
        <w:t>编      号</w:t>
      </w:r>
      <w:r>
        <w:rPr>
          <w:rFonts w:hint="eastAsia"/>
          <w:color w:val="333333"/>
          <w:sz w:val="44"/>
          <w:szCs w:val="44"/>
          <w:shd w:val="clear" w:color="auto" w:fill="FFFFFF"/>
        </w:rPr>
        <w:t>:</w:t>
      </w:r>
      <w:r>
        <w:rPr>
          <w:rStyle w:val="12"/>
          <w:rFonts w:hint="eastAsia"/>
          <w:color w:val="333333"/>
          <w:sz w:val="28"/>
          <w:szCs w:val="28"/>
          <w:u w:val="single"/>
          <w:shd w:val="clear" w:color="auto" w:fill="FFFFFF"/>
        </w:rPr>
        <w:t> G2024-</w:t>
      </w:r>
      <w:r>
        <w:rPr>
          <w:rStyle w:val="12"/>
          <w:rFonts w:hint="eastAsia"/>
          <w:color w:val="333333"/>
          <w:sz w:val="28"/>
          <w:szCs w:val="28"/>
          <w:u w:val="single"/>
          <w:shd w:val="clear" w:color="auto" w:fill="FFFFFF"/>
          <w:lang w:val="en-US" w:eastAsia="zh-CN"/>
        </w:rPr>
        <w:t>24</w:t>
      </w:r>
      <w:r>
        <w:rPr>
          <w:rStyle w:val="12"/>
          <w:color w:val="333333"/>
          <w:sz w:val="28"/>
          <w:szCs w:val="28"/>
          <w:u w:val="single"/>
          <w:shd w:val="clear" w:color="auto" w:fill="FFFFFF"/>
        </w:rPr>
        <w:t xml:space="preserve">          </w:t>
      </w:r>
      <w:r>
        <w:rPr>
          <w:rStyle w:val="12"/>
          <w:rFonts w:hint="eastAsia"/>
          <w:color w:val="333333"/>
          <w:sz w:val="32"/>
          <w:szCs w:val="32"/>
          <w:u w:val="single"/>
          <w:shd w:val="clear" w:color="auto" w:fill="FFFFFF"/>
        </w:rPr>
        <w:t xml:space="preserve">                 </w:t>
      </w:r>
    </w:p>
    <w:p w14:paraId="2011D8BA">
      <w:pPr>
        <w:pStyle w:val="8"/>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pPr>
        <w:pStyle w:val="8"/>
        <w:spacing w:before="0" w:beforeAutospacing="0" w:after="0" w:afterAutospacing="0" w:line="450" w:lineRule="atLeast"/>
        <w:jc w:val="both"/>
        <w:rPr>
          <w:rStyle w:val="12"/>
          <w:color w:val="333333"/>
          <w:sz w:val="52"/>
          <w:szCs w:val="52"/>
          <w:shd w:val="clear" w:color="auto" w:fill="FFFFFF"/>
        </w:rPr>
      </w:pPr>
    </w:p>
    <w:p w14:paraId="015D99EE">
      <w:pPr>
        <w:pStyle w:val="8"/>
        <w:spacing w:before="0" w:beforeAutospacing="0" w:after="0" w:afterAutospacing="0" w:line="450" w:lineRule="atLeast"/>
        <w:jc w:val="center"/>
        <w:rPr>
          <w:sz w:val="52"/>
          <w:szCs w:val="52"/>
        </w:rPr>
      </w:pPr>
      <w:r>
        <w:rPr>
          <w:rStyle w:val="12"/>
          <w:rFonts w:hint="eastAsia"/>
          <w:color w:val="333333"/>
          <w:sz w:val="52"/>
          <w:szCs w:val="52"/>
          <w:shd w:val="clear" w:color="auto" w:fill="FFFFFF"/>
        </w:rPr>
        <w:t>武汉工商学院招投标办公室</w:t>
      </w:r>
    </w:p>
    <w:p w14:paraId="7EE702AB">
      <w:pPr>
        <w:pStyle w:val="8"/>
        <w:spacing w:before="0" w:beforeAutospacing="0" w:after="0" w:afterAutospacing="0" w:line="450" w:lineRule="atLeast"/>
        <w:jc w:val="center"/>
        <w:rPr>
          <w:rStyle w:val="12"/>
          <w:color w:val="333333"/>
          <w:sz w:val="52"/>
          <w:szCs w:val="52"/>
          <w:shd w:val="clear" w:color="auto" w:fill="FFFFFF"/>
        </w:rPr>
      </w:pPr>
      <w:r>
        <w:rPr>
          <w:rStyle w:val="12"/>
          <w:rFonts w:hint="eastAsia"/>
          <w:color w:val="333333"/>
          <w:sz w:val="52"/>
          <w:szCs w:val="52"/>
          <w:shd w:val="clear" w:color="auto" w:fill="FFFFFF"/>
        </w:rPr>
        <w:t>二○二四年</w:t>
      </w:r>
      <w:r>
        <w:rPr>
          <w:rStyle w:val="12"/>
          <w:rFonts w:hint="eastAsia"/>
          <w:color w:val="333333"/>
          <w:sz w:val="52"/>
          <w:szCs w:val="52"/>
          <w:shd w:val="clear" w:color="auto" w:fill="FFFFFF"/>
          <w:lang w:val="en-US" w:eastAsia="zh-CN"/>
        </w:rPr>
        <w:t>八</w:t>
      </w:r>
      <w:r>
        <w:rPr>
          <w:rStyle w:val="12"/>
          <w:rFonts w:hint="eastAsia"/>
          <w:color w:val="333333"/>
          <w:sz w:val="52"/>
          <w:szCs w:val="52"/>
          <w:shd w:val="clear" w:color="auto" w:fill="FFFFFF"/>
        </w:rPr>
        <w:t>月</w:t>
      </w:r>
    </w:p>
    <w:p w14:paraId="615763E3">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709FF106">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lang w:val="en-US" w:eastAsia="zh-CN"/>
        </w:rPr>
        <w:t>数据统计软件采购</w:t>
      </w:r>
      <w:r>
        <w:rPr>
          <w:rFonts w:hint="eastAsia" w:ascii="仿宋" w:hAnsi="仿宋" w:eastAsia="仿宋"/>
          <w:sz w:val="24"/>
          <w:u w:val="single"/>
        </w:rPr>
        <w:t>项目</w:t>
      </w:r>
      <w:r>
        <w:rPr>
          <w:rFonts w:hint="eastAsia" w:ascii="仿宋" w:hAnsi="仿宋" w:eastAsia="仿宋"/>
          <w:sz w:val="24"/>
        </w:rPr>
        <w:t>招标，欢迎能满足标书要求的厂家前来投标。</w:t>
      </w:r>
    </w:p>
    <w:p w14:paraId="42EE7328">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lang w:val="en-US" w:eastAsia="zh-CN"/>
        </w:rPr>
        <w:t>数据统计软件采购</w:t>
      </w:r>
      <w:r>
        <w:rPr>
          <w:rFonts w:hint="eastAsia" w:ascii="仿宋" w:hAnsi="仿宋" w:eastAsia="仿宋"/>
          <w:sz w:val="24"/>
          <w:u w:val="single"/>
        </w:rPr>
        <w:t>项目</w:t>
      </w:r>
    </w:p>
    <w:p w14:paraId="50C4A8A9">
      <w:pPr>
        <w:spacing w:line="420" w:lineRule="exact"/>
        <w:ind w:firstLine="480" w:firstLineChars="200"/>
        <w:jc w:val="left"/>
        <w:rPr>
          <w:rFonts w:ascii="仿宋" w:hAnsi="仿宋" w:eastAsia="仿宋"/>
          <w:sz w:val="24"/>
        </w:rPr>
      </w:pPr>
      <w:r>
        <w:rPr>
          <w:rFonts w:hint="eastAsia" w:ascii="仿宋" w:hAnsi="仿宋" w:eastAsia="仿宋"/>
          <w:sz w:val="24"/>
        </w:rPr>
        <w:t>2024年</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7</w:t>
      </w:r>
      <w:bookmarkStart w:id="6" w:name="_GoBack"/>
      <w:bookmarkEnd w:id="6"/>
      <w:r>
        <w:rPr>
          <w:rFonts w:hint="eastAsia" w:ascii="仿宋" w:hAnsi="仿宋" w:eastAsia="仿宋"/>
          <w:sz w:val="24"/>
        </w:rPr>
        <w:t>日下午</w:t>
      </w:r>
      <w:r>
        <w:rPr>
          <w:rFonts w:hint="eastAsia" w:ascii="仿宋" w:hAnsi="仿宋" w:eastAsia="仿宋"/>
          <w:sz w:val="24"/>
          <w:lang w:val="en-US" w:eastAsia="zh-CN"/>
        </w:rPr>
        <w:t>4</w:t>
      </w:r>
      <w:r>
        <w:rPr>
          <w:rFonts w:hint="eastAsia" w:ascii="仿宋" w:hAnsi="仿宋" w:eastAsia="仿宋"/>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w:t>
      </w:r>
      <w:r>
        <w:rPr>
          <w:rFonts w:hint="eastAsia" w:ascii="仿宋" w:hAnsi="仿宋" w:eastAsia="仿宋"/>
          <w:sz w:val="24"/>
          <w:u w:val="single"/>
          <w:lang w:val="en-US" w:eastAsia="zh-CN"/>
        </w:rPr>
        <w:t>2</w:t>
      </w:r>
      <w:r>
        <w:rPr>
          <w:rFonts w:hint="eastAsia" w:ascii="仿宋" w:hAnsi="仿宋" w:eastAsia="仿宋"/>
          <w:sz w:val="24"/>
          <w:u w:val="single"/>
        </w:rPr>
        <w:t>00元</w:t>
      </w:r>
      <w:r>
        <w:rPr>
          <w:rFonts w:hint="eastAsia" w:ascii="仿宋" w:hAnsi="仿宋" w:eastAsia="仿宋"/>
          <w:sz w:val="24"/>
        </w:rPr>
        <w:t>（该费用收取后概不退还）。</w:t>
      </w:r>
    </w:p>
    <w:p w14:paraId="23874126">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16DB1BE9">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14:paraId="6ECA6999">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6641F603">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w:t>
      </w:r>
      <w:r>
        <w:rPr>
          <w:rFonts w:hint="eastAsia" w:ascii="仿宋" w:hAnsi="仿宋" w:eastAsia="仿宋"/>
          <w:sz w:val="24"/>
          <w:u w:val="single"/>
          <w:lang w:val="en-US" w:eastAsia="zh-CN"/>
        </w:rPr>
        <w:t>贰</w:t>
      </w:r>
      <w:r>
        <w:rPr>
          <w:rFonts w:hint="eastAsia" w:ascii="仿宋" w:hAnsi="仿宋" w:eastAsia="仿宋"/>
          <w:sz w:val="24"/>
          <w:u w:val="single"/>
        </w:rPr>
        <w:t>万 元</w:t>
      </w:r>
      <w:r>
        <w:rPr>
          <w:rFonts w:hint="eastAsia" w:ascii="仿宋" w:hAnsi="仿宋" w:eastAsia="仿宋"/>
          <w:sz w:val="24"/>
        </w:rPr>
        <w:t>，开标后未中标单位的保证金在十个工作日内不计息全额退还,中标单位的保证金则转为合同履约保证金。</w:t>
      </w:r>
    </w:p>
    <w:p w14:paraId="0B87AC6E">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6EEEBB8B">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579DBD8E">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597DC661">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49305041">
      <w:pPr>
        <w:spacing w:line="420" w:lineRule="exact"/>
        <w:ind w:firstLine="480" w:firstLineChars="200"/>
        <w:jc w:val="left"/>
        <w:rPr>
          <w:rFonts w:ascii="仿宋" w:hAnsi="仿宋" w:eastAsia="仿宋"/>
          <w:sz w:val="24"/>
        </w:rPr>
      </w:pPr>
      <w:r>
        <w:rPr>
          <w:rFonts w:hint="eastAsia" w:ascii="仿宋" w:hAnsi="仿宋" w:eastAsia="仿宋"/>
          <w:sz w:val="24"/>
        </w:rPr>
        <w:t>投标单位于2024年  月  日，将投标文件交到武汉工商学院招投标办公室。如有延误，视为废标；中标单位应在我校规定的时间内来签订合同，逾期视中标单位放弃中标，我校有权扣留保证金。</w:t>
      </w:r>
    </w:p>
    <w:p w14:paraId="5D839F5C">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14:paraId="1D856CC8">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22AAFEC3">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kern w:val="0"/>
          <w:sz w:val="24"/>
        </w:rPr>
        <w:t>另行通知</w:t>
      </w:r>
      <w:r>
        <w:rPr>
          <w:rFonts w:hint="eastAsia" w:ascii="仿宋" w:hAnsi="仿宋" w:eastAsia="仿宋"/>
          <w:sz w:val="24"/>
        </w:rPr>
        <w:t>。</w:t>
      </w:r>
    </w:p>
    <w:p w14:paraId="14FC4AF8">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2DD4D48D">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58EAF18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483F91E4">
      <w:pPr>
        <w:spacing w:line="42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w:t>
      </w:r>
      <w:r>
        <w:rPr>
          <w:rFonts w:hint="eastAsia" w:ascii="仿宋" w:hAnsi="仿宋" w:eastAsia="仿宋"/>
          <w:sz w:val="24"/>
          <w:lang w:val="en-US" w:eastAsia="zh-CN"/>
        </w:rPr>
        <w:t>黄</w:t>
      </w:r>
      <w:r>
        <w:rPr>
          <w:rFonts w:hint="eastAsia" w:ascii="仿宋" w:hAnsi="仿宋" w:eastAsia="仿宋"/>
          <w:sz w:val="24"/>
        </w:rPr>
        <w:t>老师　</w:t>
      </w:r>
      <w:r>
        <w:rPr>
          <w:rFonts w:hint="eastAsia" w:ascii="仿宋" w:hAnsi="仿宋" w:eastAsia="仿宋"/>
          <w:sz w:val="24"/>
          <w:lang w:val="en-US" w:eastAsia="zh-CN"/>
        </w:rPr>
        <w:t>18071071122</w:t>
      </w:r>
    </w:p>
    <w:p w14:paraId="49CCC23A">
      <w:pPr>
        <w:spacing w:line="420" w:lineRule="exact"/>
        <w:rPr>
          <w:rFonts w:hint="default" w:ascii="仿宋" w:hAnsi="仿宋" w:eastAsia="仿宋"/>
          <w:sz w:val="24"/>
          <w:lang w:val="en-US" w:eastAsia="zh-CN"/>
        </w:rPr>
      </w:pPr>
      <w:r>
        <w:rPr>
          <w:rFonts w:hint="eastAsia" w:ascii="仿宋" w:hAnsi="仿宋" w:eastAsia="仿宋"/>
          <w:b/>
          <w:sz w:val="28"/>
          <w:szCs w:val="28"/>
        </w:rPr>
        <w:t xml:space="preserve">            </w:t>
      </w:r>
      <w:r>
        <w:rPr>
          <w:rFonts w:hint="eastAsia" w:ascii="仿宋" w:hAnsi="仿宋" w:eastAsia="仿宋"/>
          <w:sz w:val="24"/>
        </w:rPr>
        <w:t>技术部分：</w:t>
      </w:r>
      <w:r>
        <w:rPr>
          <w:rFonts w:hint="eastAsia" w:ascii="仿宋" w:hAnsi="仿宋" w:eastAsia="仿宋"/>
          <w:sz w:val="24"/>
          <w:lang w:val="en-US" w:eastAsia="zh-CN"/>
        </w:rPr>
        <w:t>刘老师  15827459616</w:t>
      </w:r>
    </w:p>
    <w:p w14:paraId="68CCC9BD">
      <w:pPr>
        <w:spacing w:line="440" w:lineRule="exact"/>
        <w:jc w:val="center"/>
        <w:rPr>
          <w:rFonts w:ascii="仿宋" w:hAnsi="仿宋" w:eastAsia="仿宋"/>
          <w:b/>
          <w:sz w:val="32"/>
          <w:szCs w:val="32"/>
        </w:rPr>
      </w:pPr>
    </w:p>
    <w:p w14:paraId="76E69090">
      <w:pPr>
        <w:spacing w:line="440" w:lineRule="exact"/>
        <w:jc w:val="center"/>
        <w:rPr>
          <w:rFonts w:ascii="仿宋" w:hAnsi="仿宋" w:eastAsia="仿宋"/>
          <w:b/>
          <w:sz w:val="32"/>
          <w:szCs w:val="32"/>
        </w:rPr>
      </w:pPr>
    </w:p>
    <w:p w14:paraId="7F15B4F8">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311463004"/>
      <w:bookmarkStart w:id="1" w:name="_Toc310528355"/>
      <w:bookmarkStart w:id="2" w:name="_Toc355795126"/>
      <w:bookmarkStart w:id="3" w:name="_Toc516597096"/>
    </w:p>
    <w:bookmarkEnd w:id="0"/>
    <w:bookmarkEnd w:id="1"/>
    <w:bookmarkEnd w:id="2"/>
    <w:bookmarkEnd w:id="3"/>
    <w:p w14:paraId="7ECC88BF">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07A714EE">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2FDAA695">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72357DD7">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09298789">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194151F0">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79F11C61">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31DABE49">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2FC2B28A">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5B481E90">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14:paraId="78C9709F">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62F27CB2">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0BA6991A">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114C2528">
      <w:pPr>
        <w:spacing w:line="440" w:lineRule="exact"/>
        <w:ind w:firstLine="480" w:firstLineChars="200"/>
        <w:jc w:val="left"/>
        <w:rPr>
          <w:rFonts w:ascii="仿宋" w:hAnsi="仿宋" w:eastAsia="仿宋"/>
          <w:sz w:val="24"/>
        </w:rPr>
      </w:pPr>
      <w:r>
        <w:rPr>
          <w:rFonts w:hint="eastAsia" w:ascii="仿宋" w:hAnsi="仿宋" w:eastAsia="仿宋"/>
          <w:sz w:val="24"/>
        </w:rPr>
        <w:t>1、开标时间和地点：</w:t>
      </w:r>
      <w:r>
        <w:rPr>
          <w:rFonts w:hint="eastAsia" w:ascii="仿宋" w:hAnsi="仿宋" w:eastAsia="仿宋"/>
          <w:kern w:val="0"/>
          <w:sz w:val="24"/>
        </w:rPr>
        <w:t>另行通知</w:t>
      </w:r>
      <w:r>
        <w:rPr>
          <w:rFonts w:hint="eastAsia" w:ascii="仿宋" w:hAnsi="仿宋" w:eastAsia="仿宋"/>
          <w:sz w:val="24"/>
        </w:rPr>
        <w:t>。</w:t>
      </w:r>
    </w:p>
    <w:p w14:paraId="313A378A">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217171F7">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182DD97D">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31FD5233">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5E47346F">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6CB37238">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3B31BDC3">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7E49BF92">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6E474D28">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4067E0F5">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6C2DE05B">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3704FC98">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555B1EAC">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23B482F4">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7A374EFA"/>
    <w:p w14:paraId="02DF56E0">
      <w:pPr>
        <w:spacing w:line="440" w:lineRule="exact"/>
        <w:jc w:val="center"/>
        <w:rPr>
          <w:rFonts w:ascii="仿宋" w:hAnsi="仿宋" w:eastAsia="仿宋"/>
          <w:b/>
          <w:sz w:val="32"/>
          <w:szCs w:val="32"/>
        </w:rPr>
      </w:pPr>
    </w:p>
    <w:p w14:paraId="4D1490F0">
      <w:pPr>
        <w:spacing w:line="440" w:lineRule="exact"/>
        <w:jc w:val="center"/>
        <w:rPr>
          <w:rFonts w:ascii="仿宋" w:hAnsi="仿宋" w:eastAsia="仿宋"/>
          <w:b/>
          <w:sz w:val="32"/>
          <w:szCs w:val="32"/>
        </w:rPr>
      </w:pPr>
    </w:p>
    <w:p w14:paraId="29091E8F">
      <w:pPr>
        <w:spacing w:line="440" w:lineRule="exact"/>
        <w:jc w:val="center"/>
        <w:rPr>
          <w:rFonts w:ascii="仿宋" w:hAnsi="仿宋" w:eastAsia="仿宋"/>
          <w:b/>
          <w:sz w:val="32"/>
          <w:szCs w:val="32"/>
        </w:rPr>
      </w:pPr>
    </w:p>
    <w:p w14:paraId="5DE6167C">
      <w:pPr>
        <w:spacing w:line="440" w:lineRule="exact"/>
        <w:jc w:val="center"/>
        <w:rPr>
          <w:rFonts w:ascii="仿宋" w:hAnsi="仿宋" w:eastAsia="仿宋"/>
          <w:b/>
          <w:sz w:val="32"/>
          <w:szCs w:val="32"/>
        </w:rPr>
      </w:pPr>
    </w:p>
    <w:p w14:paraId="5EF97846">
      <w:pPr>
        <w:spacing w:line="440" w:lineRule="exact"/>
        <w:jc w:val="center"/>
        <w:rPr>
          <w:rFonts w:ascii="仿宋" w:hAnsi="仿宋" w:eastAsia="仿宋"/>
          <w:b/>
          <w:sz w:val="32"/>
          <w:szCs w:val="32"/>
        </w:rPr>
      </w:pPr>
    </w:p>
    <w:p w14:paraId="2387FE7B">
      <w:pPr>
        <w:spacing w:line="440" w:lineRule="exact"/>
        <w:jc w:val="center"/>
        <w:rPr>
          <w:rFonts w:ascii="仿宋" w:hAnsi="仿宋" w:eastAsia="仿宋"/>
          <w:b/>
          <w:sz w:val="32"/>
          <w:szCs w:val="32"/>
        </w:rPr>
      </w:pPr>
    </w:p>
    <w:p w14:paraId="333A817C">
      <w:pPr>
        <w:spacing w:line="440" w:lineRule="exact"/>
        <w:jc w:val="center"/>
        <w:rPr>
          <w:rFonts w:ascii="仿宋" w:hAnsi="仿宋" w:eastAsia="仿宋"/>
          <w:b/>
          <w:sz w:val="32"/>
          <w:szCs w:val="32"/>
        </w:rPr>
      </w:pPr>
    </w:p>
    <w:p w14:paraId="668652DA">
      <w:pPr>
        <w:spacing w:line="440" w:lineRule="exact"/>
        <w:jc w:val="center"/>
        <w:rPr>
          <w:rFonts w:ascii="仿宋" w:hAnsi="仿宋" w:eastAsia="仿宋"/>
          <w:b/>
          <w:sz w:val="32"/>
          <w:szCs w:val="32"/>
        </w:rPr>
      </w:pPr>
    </w:p>
    <w:p w14:paraId="4A25691C">
      <w:pPr>
        <w:spacing w:line="440" w:lineRule="exact"/>
        <w:jc w:val="center"/>
        <w:rPr>
          <w:rFonts w:ascii="仿宋" w:hAnsi="仿宋" w:eastAsia="仿宋"/>
          <w:b/>
          <w:sz w:val="32"/>
          <w:szCs w:val="32"/>
        </w:rPr>
      </w:pPr>
    </w:p>
    <w:p w14:paraId="183E30F0">
      <w:pPr>
        <w:spacing w:line="440" w:lineRule="exact"/>
        <w:jc w:val="center"/>
        <w:rPr>
          <w:rFonts w:ascii="仿宋" w:hAnsi="仿宋" w:eastAsia="仿宋"/>
          <w:b/>
          <w:sz w:val="32"/>
          <w:szCs w:val="32"/>
        </w:rPr>
      </w:pPr>
    </w:p>
    <w:p w14:paraId="24E831E5">
      <w:pPr>
        <w:spacing w:line="440" w:lineRule="exact"/>
        <w:jc w:val="center"/>
        <w:rPr>
          <w:rFonts w:ascii="仿宋" w:hAnsi="仿宋" w:eastAsia="仿宋"/>
          <w:b/>
          <w:sz w:val="32"/>
          <w:szCs w:val="32"/>
        </w:rPr>
      </w:pPr>
    </w:p>
    <w:p w14:paraId="7ACED556">
      <w:pPr>
        <w:spacing w:line="440" w:lineRule="exact"/>
        <w:jc w:val="center"/>
        <w:rPr>
          <w:rFonts w:ascii="仿宋" w:hAnsi="仿宋" w:eastAsia="仿宋"/>
          <w:b/>
          <w:sz w:val="32"/>
          <w:szCs w:val="32"/>
        </w:rPr>
      </w:pPr>
    </w:p>
    <w:p w14:paraId="6BDB3874">
      <w:pPr>
        <w:spacing w:line="440" w:lineRule="exact"/>
        <w:jc w:val="center"/>
        <w:rPr>
          <w:rFonts w:ascii="仿宋" w:hAnsi="仿宋" w:eastAsia="仿宋"/>
          <w:b/>
          <w:sz w:val="32"/>
          <w:szCs w:val="32"/>
        </w:rPr>
      </w:pPr>
    </w:p>
    <w:p w14:paraId="5411AFDA">
      <w:pPr>
        <w:spacing w:line="440" w:lineRule="exact"/>
        <w:jc w:val="center"/>
        <w:rPr>
          <w:rFonts w:ascii="仿宋" w:hAnsi="仿宋" w:eastAsia="仿宋"/>
          <w:b/>
          <w:sz w:val="32"/>
          <w:szCs w:val="32"/>
        </w:rPr>
      </w:pPr>
    </w:p>
    <w:p w14:paraId="459425D2">
      <w:pPr>
        <w:spacing w:line="440" w:lineRule="exact"/>
        <w:jc w:val="center"/>
        <w:rPr>
          <w:rFonts w:ascii="仿宋" w:hAnsi="仿宋" w:eastAsia="仿宋"/>
          <w:b/>
          <w:sz w:val="32"/>
          <w:szCs w:val="32"/>
        </w:rPr>
      </w:pPr>
    </w:p>
    <w:p w14:paraId="5F7BCB25">
      <w:pPr>
        <w:spacing w:line="440" w:lineRule="exact"/>
        <w:jc w:val="center"/>
        <w:rPr>
          <w:rFonts w:ascii="仿宋" w:hAnsi="仿宋" w:eastAsia="仿宋"/>
          <w:b/>
          <w:sz w:val="32"/>
          <w:szCs w:val="32"/>
        </w:rPr>
      </w:pPr>
    </w:p>
    <w:p w14:paraId="1D0F930B">
      <w:pPr>
        <w:spacing w:line="440" w:lineRule="exact"/>
        <w:jc w:val="center"/>
        <w:rPr>
          <w:rFonts w:ascii="仿宋" w:hAnsi="仿宋" w:eastAsia="仿宋"/>
          <w:b/>
          <w:sz w:val="32"/>
          <w:szCs w:val="32"/>
        </w:rPr>
      </w:pPr>
    </w:p>
    <w:p w14:paraId="7988CB2F">
      <w:pPr>
        <w:spacing w:line="440" w:lineRule="exact"/>
        <w:jc w:val="center"/>
        <w:rPr>
          <w:rFonts w:ascii="仿宋" w:hAnsi="仿宋" w:eastAsia="仿宋"/>
          <w:b/>
          <w:sz w:val="32"/>
          <w:szCs w:val="32"/>
        </w:rPr>
      </w:pPr>
    </w:p>
    <w:p w14:paraId="0FE7C123">
      <w:pPr>
        <w:spacing w:line="440" w:lineRule="exact"/>
        <w:jc w:val="center"/>
        <w:rPr>
          <w:rFonts w:ascii="仿宋" w:hAnsi="仿宋" w:eastAsia="仿宋"/>
          <w:b/>
          <w:sz w:val="32"/>
          <w:szCs w:val="32"/>
        </w:rPr>
      </w:pPr>
    </w:p>
    <w:p w14:paraId="48E92751">
      <w:pPr>
        <w:spacing w:line="440" w:lineRule="exact"/>
        <w:jc w:val="center"/>
        <w:rPr>
          <w:rFonts w:ascii="仿宋" w:hAnsi="仿宋" w:eastAsia="仿宋"/>
          <w:b/>
          <w:sz w:val="32"/>
          <w:szCs w:val="32"/>
        </w:rPr>
      </w:pPr>
    </w:p>
    <w:p w14:paraId="1EFA6169">
      <w:pPr>
        <w:spacing w:line="440" w:lineRule="exact"/>
        <w:jc w:val="center"/>
        <w:rPr>
          <w:rFonts w:ascii="仿宋" w:hAnsi="仿宋" w:eastAsia="仿宋"/>
          <w:b/>
          <w:sz w:val="32"/>
          <w:szCs w:val="32"/>
        </w:rPr>
      </w:pPr>
    </w:p>
    <w:p w14:paraId="25CCA224">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p>
    <w:tbl>
      <w:tblPr>
        <w:tblStyle w:val="9"/>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9"/>
        <w:gridCol w:w="1200"/>
        <w:gridCol w:w="7219"/>
        <w:gridCol w:w="570"/>
      </w:tblGrid>
      <w:tr w14:paraId="3183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99" w:type="dxa"/>
            <w:tcMar>
              <w:top w:w="0" w:type="dxa"/>
              <w:left w:w="10" w:type="dxa"/>
              <w:bottom w:w="0" w:type="dxa"/>
              <w:right w:w="10" w:type="dxa"/>
            </w:tcMar>
            <w:vAlign w:val="center"/>
          </w:tcPr>
          <w:p w14:paraId="37588C14">
            <w:pPr>
              <w:spacing w:line="276"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200" w:type="dxa"/>
            <w:tcMar>
              <w:top w:w="0" w:type="dxa"/>
              <w:left w:w="10" w:type="dxa"/>
              <w:bottom w:w="0" w:type="dxa"/>
              <w:right w:w="10" w:type="dxa"/>
            </w:tcMar>
            <w:vAlign w:val="center"/>
          </w:tcPr>
          <w:p w14:paraId="56C1DBA0">
            <w:pPr>
              <w:spacing w:line="276" w:lineRule="auto"/>
              <w:jc w:val="center"/>
              <w:rPr>
                <w:rFonts w:hint="eastAsia" w:ascii="仿宋" w:hAnsi="仿宋" w:eastAsia="仿宋" w:cs="仿宋"/>
                <w:sz w:val="24"/>
                <w:szCs w:val="24"/>
              </w:rPr>
            </w:pPr>
            <w:r>
              <w:rPr>
                <w:rFonts w:hint="eastAsia" w:ascii="仿宋" w:hAnsi="仿宋" w:eastAsia="仿宋" w:cs="仿宋"/>
                <w:sz w:val="24"/>
                <w:szCs w:val="24"/>
              </w:rPr>
              <w:t>设备名称</w:t>
            </w:r>
          </w:p>
        </w:tc>
        <w:tc>
          <w:tcPr>
            <w:tcW w:w="7219" w:type="dxa"/>
            <w:tcMar>
              <w:top w:w="0" w:type="dxa"/>
              <w:left w:w="10" w:type="dxa"/>
              <w:bottom w:w="0" w:type="dxa"/>
              <w:right w:w="10" w:type="dxa"/>
            </w:tcMar>
            <w:vAlign w:val="center"/>
          </w:tcPr>
          <w:p w14:paraId="6569EDC1">
            <w:pPr>
              <w:spacing w:line="276" w:lineRule="auto"/>
              <w:jc w:val="center"/>
              <w:rPr>
                <w:rFonts w:hint="eastAsia" w:ascii="仿宋" w:hAnsi="仿宋" w:eastAsia="仿宋" w:cs="仿宋"/>
                <w:sz w:val="24"/>
                <w:szCs w:val="24"/>
              </w:rPr>
            </w:pPr>
            <w:r>
              <w:rPr>
                <w:rFonts w:hint="eastAsia" w:ascii="仿宋" w:hAnsi="仿宋" w:eastAsia="仿宋" w:cs="仿宋"/>
                <w:sz w:val="24"/>
                <w:szCs w:val="24"/>
              </w:rPr>
              <w:t>设备规格、技术参数</w:t>
            </w:r>
          </w:p>
        </w:tc>
        <w:tc>
          <w:tcPr>
            <w:tcW w:w="570" w:type="dxa"/>
            <w:tcMar>
              <w:top w:w="0" w:type="dxa"/>
              <w:left w:w="10" w:type="dxa"/>
              <w:bottom w:w="0" w:type="dxa"/>
              <w:right w:w="10" w:type="dxa"/>
            </w:tcMar>
            <w:vAlign w:val="center"/>
          </w:tcPr>
          <w:p w14:paraId="4959D82D">
            <w:pPr>
              <w:spacing w:line="276" w:lineRule="auto"/>
              <w:jc w:val="center"/>
              <w:rPr>
                <w:rFonts w:hint="eastAsia" w:ascii="仿宋" w:hAnsi="仿宋" w:eastAsia="仿宋" w:cs="仿宋"/>
                <w:sz w:val="24"/>
                <w:szCs w:val="24"/>
              </w:rPr>
            </w:pPr>
            <w:r>
              <w:rPr>
                <w:rFonts w:hint="eastAsia" w:ascii="仿宋" w:hAnsi="仿宋" w:eastAsia="仿宋" w:cs="仿宋"/>
                <w:sz w:val="24"/>
                <w:szCs w:val="24"/>
              </w:rPr>
              <w:t>数量</w:t>
            </w:r>
          </w:p>
        </w:tc>
      </w:tr>
      <w:tr w14:paraId="244C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atLeast"/>
          <w:jc w:val="center"/>
        </w:trPr>
        <w:tc>
          <w:tcPr>
            <w:tcW w:w="599" w:type="dxa"/>
            <w:tcMar>
              <w:top w:w="0" w:type="dxa"/>
              <w:left w:w="10" w:type="dxa"/>
              <w:bottom w:w="0" w:type="dxa"/>
              <w:right w:w="10" w:type="dxa"/>
            </w:tcMar>
            <w:vAlign w:val="center"/>
          </w:tcPr>
          <w:p w14:paraId="175A22A8">
            <w:pPr>
              <w:spacing w:line="276"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200" w:type="dxa"/>
            <w:tcMar>
              <w:top w:w="0" w:type="dxa"/>
              <w:left w:w="10" w:type="dxa"/>
              <w:bottom w:w="0" w:type="dxa"/>
              <w:right w:w="10" w:type="dxa"/>
            </w:tcMar>
            <w:vAlign w:val="center"/>
          </w:tcPr>
          <w:p w14:paraId="467962B3">
            <w:pPr>
              <w:spacing w:line="276"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数据统计软件</w:t>
            </w:r>
          </w:p>
        </w:tc>
        <w:tc>
          <w:tcPr>
            <w:tcW w:w="7219" w:type="dxa"/>
            <w:tcMar>
              <w:top w:w="0" w:type="dxa"/>
              <w:left w:w="10" w:type="dxa"/>
              <w:bottom w:w="0" w:type="dxa"/>
              <w:right w:w="10" w:type="dxa"/>
            </w:tcMar>
            <w:vAlign w:val="center"/>
          </w:tcPr>
          <w:p w14:paraId="44BFB4D9">
            <w:pPr>
              <w:numPr>
                <w:ilvl w:val="0"/>
                <w:numId w:val="1"/>
              </w:numPr>
              <w:ind w:leftChars="0"/>
              <w:outlineLvl w:val="1"/>
              <w:rPr>
                <w:rFonts w:hint="eastAsia" w:ascii="仿宋" w:hAnsi="仿宋" w:eastAsia="仿宋" w:cs="仿宋"/>
                <w:b/>
                <w:sz w:val="24"/>
                <w:szCs w:val="24"/>
              </w:rPr>
            </w:pPr>
            <w:r>
              <w:rPr>
                <w:rFonts w:hint="eastAsia" w:ascii="仿宋" w:hAnsi="仿宋" w:eastAsia="仿宋" w:cs="仿宋"/>
                <w:b/>
                <w:sz w:val="24"/>
                <w:szCs w:val="24"/>
              </w:rPr>
              <w:t>制造商或供应商商务要求</w:t>
            </w:r>
          </w:p>
          <w:p w14:paraId="73D9F1E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bookmarkStart w:id="4" w:name="OLE_LINK19"/>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供应商应是在国家相关行政管理部门注册且为独立法人机构，经营范围涵盖本次采购范围的国内合法企业；</w:t>
            </w:r>
          </w:p>
          <w:p w14:paraId="6628521E">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rPr>
              <w:t>供应商</w:t>
            </w:r>
            <w:bookmarkStart w:id="5" w:name="OLE_LINK4"/>
            <w:r>
              <w:rPr>
                <w:rFonts w:hint="eastAsia" w:ascii="仿宋" w:hAnsi="仿宋" w:eastAsia="仿宋" w:cs="仿宋"/>
                <w:sz w:val="24"/>
                <w:szCs w:val="24"/>
              </w:rPr>
              <w:t>所投产品近年</w:t>
            </w:r>
            <w:bookmarkEnd w:id="5"/>
            <w:r>
              <w:rPr>
                <w:rFonts w:hint="eastAsia" w:ascii="仿宋" w:hAnsi="仿宋" w:eastAsia="仿宋" w:cs="仿宋"/>
                <w:sz w:val="24"/>
                <w:szCs w:val="24"/>
              </w:rPr>
              <w:t>三年内同类产品项目业绩不少于5个（需要提供合同原件）</w:t>
            </w:r>
          </w:p>
          <w:bookmarkEnd w:id="4"/>
          <w:p w14:paraId="7AFACB71">
            <w:pPr>
              <w:numPr>
                <w:ilvl w:val="0"/>
                <w:numId w:val="0"/>
              </w:numPr>
              <w:ind w:leftChars="0"/>
              <w:outlineLvl w:val="1"/>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二</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售后服务体系要求</w:t>
            </w:r>
          </w:p>
          <w:p w14:paraId="5BD32C5B">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负责对软件系统的免费现场安装、调试及指导和服务。</w:t>
            </w:r>
          </w:p>
          <w:p w14:paraId="5F343BF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rPr>
              <w:t>负责在规定的安装调试期内完成工作，所产生一切费用由卖方承担。如因卖方责任而造成的延期，所有因安装延期而产生的费用由卖方负担。</w:t>
            </w:r>
          </w:p>
          <w:p w14:paraId="642FFF9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3.</w:t>
            </w:r>
            <w:r>
              <w:rPr>
                <w:rFonts w:hint="eastAsia" w:ascii="仿宋" w:hAnsi="仿宋" w:eastAsia="仿宋" w:cs="仿宋"/>
                <w:sz w:val="24"/>
                <w:szCs w:val="24"/>
              </w:rPr>
              <w:t>产品质保期为1年。质保期内，负责因货物本身质量问题导致的各种故障的免费技术服务及维修。质量保证期后，维修、更换配件等只收成本费。</w:t>
            </w:r>
          </w:p>
          <w:p w14:paraId="3F66D1DD">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4.</w:t>
            </w:r>
            <w:r>
              <w:rPr>
                <w:rFonts w:hint="eastAsia" w:ascii="仿宋" w:hAnsi="仿宋" w:eastAsia="仿宋" w:cs="仿宋"/>
                <w:sz w:val="24"/>
                <w:szCs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2334BF52">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5.</w:t>
            </w:r>
            <w:r>
              <w:rPr>
                <w:rFonts w:hint="eastAsia" w:ascii="仿宋" w:hAnsi="仿宋" w:eastAsia="仿宋" w:cs="仿宋"/>
                <w:sz w:val="24"/>
                <w:szCs w:val="24"/>
              </w:rPr>
              <w:t>终身免费技术咨询。</w:t>
            </w:r>
          </w:p>
          <w:p w14:paraId="76D8C1AE">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rPr>
              <w:t>提供1000分钟以上的软件培训视频。</w:t>
            </w:r>
          </w:p>
          <w:p w14:paraId="6D90CC4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227" w:leftChars="0" w:hanging="227" w:firstLineChars="0"/>
              <w:jc w:val="both"/>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rPr>
              <w:t>服务响应时间承诺：接到软件故障报告后1小时内响应，1个工作日内解决，其费用由卖方负担。</w:t>
            </w:r>
          </w:p>
          <w:p w14:paraId="66596E1C">
            <w:pPr>
              <w:tabs>
                <w:tab w:val="left" w:pos="640"/>
                <w:tab w:val="left" w:pos="1080"/>
              </w:tabs>
              <w:outlineLvl w:val="1"/>
              <w:rPr>
                <w:rFonts w:hint="eastAsia" w:ascii="仿宋" w:hAnsi="仿宋" w:eastAsia="仿宋" w:cs="仿宋"/>
                <w:b/>
                <w:sz w:val="24"/>
                <w:szCs w:val="24"/>
              </w:rPr>
            </w:pPr>
            <w:r>
              <w:rPr>
                <w:rFonts w:hint="eastAsia" w:ascii="仿宋" w:hAnsi="仿宋" w:eastAsia="仿宋" w:cs="仿宋"/>
                <w:b/>
                <w:sz w:val="24"/>
                <w:szCs w:val="24"/>
              </w:rPr>
              <w:t>（三） 系统整体技术和功能要求</w:t>
            </w:r>
          </w:p>
          <w:p w14:paraId="5CAF9AD9">
            <w:pPr>
              <w:spacing w:line="360" w:lineRule="auto"/>
              <w:ind w:firstLine="482" w:firstLineChars="200"/>
              <w:outlineLvl w:val="0"/>
              <w:rPr>
                <w:rFonts w:hint="eastAsia" w:ascii="仿宋" w:hAnsi="仿宋" w:eastAsia="仿宋" w:cs="仿宋"/>
                <w:b/>
                <w:bCs/>
                <w:sz w:val="24"/>
                <w:szCs w:val="24"/>
              </w:rPr>
            </w:pPr>
            <w:r>
              <w:rPr>
                <w:rFonts w:hint="eastAsia" w:ascii="仿宋" w:hAnsi="仿宋" w:eastAsia="仿宋" w:cs="仿宋"/>
                <w:b/>
                <w:bCs/>
                <w:sz w:val="24"/>
                <w:szCs w:val="24"/>
              </w:rPr>
              <w:t>一、技术要求</w:t>
            </w:r>
          </w:p>
          <w:p w14:paraId="071805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1、系统采用C/S架构设计，需要安装专门客户端，通过授权码加密安装和登陆使用。</w:t>
            </w:r>
          </w:p>
          <w:p w14:paraId="629E33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2、软件永久授权，不限期使用。</w:t>
            </w:r>
          </w:p>
          <w:p w14:paraId="53C7E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3、软件运行的环境要求如下：</w:t>
            </w:r>
          </w:p>
          <w:p w14:paraId="4D28A8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WINDOWS系统</w:t>
            </w:r>
          </w:p>
          <w:p w14:paraId="75424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Windows 11 64位</w:t>
            </w:r>
          </w:p>
          <w:p w14:paraId="23A73B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Windows 10（版本 1909 或更高版本）64位</w:t>
            </w:r>
          </w:p>
          <w:p w14:paraId="4BE48A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最低要求：任何 Intel 或 AMD x86-64 处理器</w:t>
            </w:r>
          </w:p>
          <w:p w14:paraId="009ED3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磁盘：最低要求：4 GB 磁盘空间</w:t>
            </w:r>
          </w:p>
          <w:p w14:paraId="4E6D95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内存：最小：4 GB 推荐：8 GB</w:t>
            </w:r>
          </w:p>
          <w:p w14:paraId="2D84D9E4">
            <w:pPr>
              <w:spacing w:line="360" w:lineRule="auto"/>
              <w:ind w:firstLine="482" w:firstLineChars="200"/>
              <w:outlineLvl w:val="0"/>
              <w:rPr>
                <w:rFonts w:hint="eastAsia" w:ascii="仿宋" w:hAnsi="仿宋" w:eastAsia="仿宋" w:cs="仿宋"/>
                <w:b/>
                <w:bCs/>
                <w:sz w:val="24"/>
                <w:szCs w:val="24"/>
              </w:rPr>
            </w:pPr>
            <w:r>
              <w:rPr>
                <w:rFonts w:hint="eastAsia" w:ascii="仿宋" w:hAnsi="仿宋" w:eastAsia="仿宋" w:cs="仿宋"/>
                <w:b/>
                <w:bCs/>
                <w:sz w:val="24"/>
                <w:szCs w:val="24"/>
              </w:rPr>
              <w:t>二、数据要求</w:t>
            </w:r>
          </w:p>
          <w:p w14:paraId="60055A44">
            <w:pPr>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★提供配套数据案例库，能够实时更新，能够在线提取数据，包含行业经济数据，涵盖生物医药，煤炭业，电力，钢铁业，汽车业，非金属矿采选业，交通运输业，房地产，金融，邮电通讯行业等10个行业以上。</w:t>
            </w:r>
          </w:p>
          <w:p w14:paraId="78175AAB">
            <w:pPr>
              <w:spacing w:line="360" w:lineRule="auto"/>
              <w:ind w:firstLine="482" w:firstLineChars="200"/>
              <w:outlineLvl w:val="0"/>
              <w:rPr>
                <w:rFonts w:hint="eastAsia" w:ascii="仿宋" w:hAnsi="仿宋" w:eastAsia="仿宋" w:cs="仿宋"/>
                <w:b/>
                <w:bCs/>
                <w:sz w:val="24"/>
                <w:szCs w:val="24"/>
              </w:rPr>
            </w:pPr>
            <w:r>
              <w:rPr>
                <w:rFonts w:hint="eastAsia" w:ascii="仿宋" w:hAnsi="仿宋" w:eastAsia="仿宋" w:cs="仿宋"/>
                <w:b/>
                <w:bCs/>
                <w:sz w:val="24"/>
                <w:szCs w:val="24"/>
              </w:rPr>
              <w:t>三、案例教学要求</w:t>
            </w:r>
          </w:p>
          <w:p w14:paraId="395D6F88">
            <w:pPr>
              <w:spacing w:line="360" w:lineRule="auto"/>
              <w:ind w:left="480"/>
              <w:rPr>
                <w:rFonts w:hint="eastAsia" w:ascii="仿宋" w:hAnsi="仿宋" w:eastAsia="仿宋" w:cs="仿宋"/>
                <w:bCs/>
                <w:sz w:val="24"/>
                <w:szCs w:val="24"/>
              </w:rPr>
            </w:pPr>
            <w:r>
              <w:rPr>
                <w:rFonts w:hint="eastAsia" w:ascii="仿宋" w:hAnsi="仿宋" w:eastAsia="仿宋" w:cs="仿宋"/>
                <w:sz w:val="24"/>
                <w:szCs w:val="24"/>
              </w:rPr>
              <w:t>★</w:t>
            </w:r>
            <w:r>
              <w:rPr>
                <w:rFonts w:hint="eastAsia" w:ascii="仿宋" w:hAnsi="仿宋" w:eastAsia="仿宋" w:cs="仿宋"/>
                <w:bCs/>
                <w:sz w:val="24"/>
                <w:szCs w:val="24"/>
              </w:rPr>
              <w:t>提供至少5个和数据分析课程相关的案例教学的案例教学设计说明、配套的案例教学设计、案例教学课件及数据。（提供截图证明）</w:t>
            </w:r>
          </w:p>
          <w:p w14:paraId="6173BEFC">
            <w:pPr>
              <w:spacing w:line="360" w:lineRule="auto"/>
              <w:ind w:firstLine="482" w:firstLineChars="200"/>
              <w:outlineLvl w:val="0"/>
              <w:rPr>
                <w:rFonts w:hint="eastAsia" w:ascii="仿宋" w:hAnsi="仿宋" w:eastAsia="仿宋" w:cs="仿宋"/>
                <w:b/>
                <w:bCs/>
                <w:sz w:val="24"/>
                <w:szCs w:val="24"/>
              </w:rPr>
            </w:pPr>
            <w:r>
              <w:rPr>
                <w:rFonts w:hint="eastAsia" w:ascii="仿宋" w:hAnsi="仿宋" w:eastAsia="仿宋" w:cs="仿宋"/>
                <w:b/>
                <w:bCs/>
                <w:sz w:val="24"/>
                <w:szCs w:val="24"/>
              </w:rPr>
              <w:t>四、教学实训要求</w:t>
            </w:r>
          </w:p>
          <w:p w14:paraId="6EE245F3">
            <w:pPr>
              <w:spacing w:line="360" w:lineRule="auto"/>
              <w:ind w:left="480"/>
              <w:rPr>
                <w:rFonts w:hint="eastAsia" w:ascii="仿宋" w:hAnsi="仿宋" w:eastAsia="仿宋" w:cs="仿宋"/>
                <w:sz w:val="24"/>
                <w:szCs w:val="24"/>
              </w:rPr>
            </w:pPr>
            <w:r>
              <w:rPr>
                <w:rFonts w:hint="eastAsia" w:ascii="仿宋" w:hAnsi="仿宋" w:eastAsia="仿宋" w:cs="仿宋"/>
                <w:sz w:val="24"/>
                <w:szCs w:val="24"/>
              </w:rPr>
              <w:t>★提供数据挖掘教学实训系统一套（软硬件一体），提供数据挖掘课程实训环境，支持课程实训指导书与实训环境同屏展现，支持实验指导书全屏查看，能提供至少包含电力行业用户行为分析、电商行业数据分析，金融行业、房地产行业数据分析、广电大数据分析等10个实战案例。</w:t>
            </w:r>
          </w:p>
          <w:p w14:paraId="76F57897">
            <w:pPr>
              <w:spacing w:line="360" w:lineRule="auto"/>
              <w:ind w:firstLine="482" w:firstLineChars="200"/>
              <w:outlineLvl w:val="0"/>
              <w:rPr>
                <w:rFonts w:hint="eastAsia" w:ascii="仿宋" w:hAnsi="仿宋" w:eastAsia="仿宋" w:cs="仿宋"/>
                <w:b/>
                <w:bCs/>
                <w:sz w:val="24"/>
                <w:szCs w:val="24"/>
              </w:rPr>
            </w:pPr>
            <w:r>
              <w:rPr>
                <w:rFonts w:hint="eastAsia" w:ascii="仿宋" w:hAnsi="仿宋" w:eastAsia="仿宋" w:cs="仿宋"/>
                <w:b/>
                <w:bCs/>
                <w:sz w:val="24"/>
                <w:szCs w:val="24"/>
              </w:rPr>
              <w:t>五、功能要求</w:t>
            </w:r>
          </w:p>
          <w:p w14:paraId="37C72957">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★1.软件平台支持单机许可，满足35人同时使用，永久授权；</w:t>
            </w:r>
          </w:p>
          <w:p w14:paraId="07014428">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2.软件具有数据访问和管理，比较两个数据文件的兼容性、据准备功能；定义变量属性工具；复制数据属性工具,视觉打捆机，识别重复的情况下；日期/时间向导；数据重组向导；单记录多个记录；多个记录单记录；直接Excel数据访问；容易导入Excel和CSV；数据导出到Excel；</w:t>
            </w:r>
          </w:p>
          <w:p w14:paraId="1B171DC7">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3.软件可以提供数据访问、数据准备、数据管理与输出管理；</w:t>
            </w:r>
          </w:p>
          <w:p w14:paraId="2ACC6CC7">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4.软件可以描述统计和探索分析：频数、描述、集中趋势和离散趋势分析、分布分析与查看、正态性检验与正态转换、均值的置信区间估计；</w:t>
            </w:r>
          </w:p>
          <w:p w14:paraId="1795B692">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5.软件满足交叉表：计数；行、列和总计百分比；独立性检验；定类变量和定序变量的相关性测度；二元统计：均值比较、 T 检验、单因素方差分析；</w:t>
            </w:r>
          </w:p>
          <w:p w14:paraId="7BC1B95A">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6.软件可以提供相关分析：双变量相关分析、偏相关分析、距离分析；</w:t>
            </w:r>
          </w:p>
          <w:p w14:paraId="366239B3">
            <w:pPr>
              <w:pageBreakBefore w:val="0"/>
              <w:widowControl w:val="0"/>
              <w:kinsoku/>
              <w:wordWrap/>
              <w:overflowPunct/>
              <w:topLinePunct w:val="0"/>
              <w:autoSpaceDE/>
              <w:autoSpaceDN/>
              <w:bidi w:val="0"/>
              <w:adjustRightInd/>
              <w:snapToGrid/>
              <w:spacing w:line="288" w:lineRule="auto"/>
              <w:ind w:left="227" w:hanging="227"/>
              <w:textAlignment w:val="auto"/>
              <w:rPr>
                <w:rFonts w:hint="eastAsia" w:ascii="仿宋" w:hAnsi="仿宋" w:eastAsia="仿宋" w:cs="仿宋"/>
                <w:sz w:val="24"/>
                <w:szCs w:val="24"/>
              </w:rPr>
            </w:pPr>
            <w:r>
              <w:rPr>
                <w:rFonts w:hint="eastAsia" w:ascii="仿宋" w:hAnsi="仿宋" w:eastAsia="仿宋" w:cs="仿宋"/>
                <w:sz w:val="24"/>
                <w:szCs w:val="24"/>
              </w:rPr>
              <w:t>7.软件可以提供线性回归分析：线性回归、 Ordinal 回归 —PLUM 、曲线估计；</w:t>
            </w:r>
          </w:p>
          <w:p w14:paraId="5DB53159">
            <w:pPr>
              <w:pStyle w:val="2"/>
              <w:pageBreakBefore w:val="0"/>
              <w:widowControl w:val="0"/>
              <w:kinsoku/>
              <w:wordWrap/>
              <w:overflowPunct/>
              <w:topLinePunct w:val="0"/>
              <w:autoSpaceDE/>
              <w:autoSpaceDN/>
              <w:bidi w:val="0"/>
              <w:adjustRightInd/>
              <w:snapToGrid/>
              <w:spacing w:before="0" w:after="0" w:line="288" w:lineRule="auto"/>
              <w:ind w:left="227" w:hanging="227"/>
              <w:textAlignment w:val="auto"/>
              <w:rPr>
                <w:rFonts w:hint="eastAsia" w:ascii="仿宋" w:hAnsi="仿宋" w:eastAsia="仿宋" w:cs="仿宋"/>
                <w:b w:val="0"/>
                <w:bCs w:val="0"/>
                <w:kern w:val="2"/>
                <w:sz w:val="24"/>
                <w:szCs w:val="24"/>
              </w:rPr>
            </w:pPr>
            <w:r>
              <w:rPr>
                <w:rFonts w:hint="eastAsia" w:ascii="仿宋" w:hAnsi="仿宋" w:eastAsia="仿宋" w:cs="仿宋"/>
                <w:b w:val="0"/>
                <w:bCs w:val="0"/>
                <w:kern w:val="2"/>
                <w:sz w:val="24"/>
                <w:szCs w:val="24"/>
              </w:rPr>
              <w:t>8.提供高级统计如：一般线性模型(GLM)、线性混合模型、方差成分分析、对数线性分析、序数回归、保险精算寿命表、Kaplan-Meier 生存分析以及广义线性模型及广义估计方程等各种复杂分析及模型</w:t>
            </w:r>
          </w:p>
          <w:p w14:paraId="20C94143">
            <w:pPr>
              <w:tabs>
                <w:tab w:val="left" w:pos="640"/>
                <w:tab w:val="left" w:pos="1080"/>
              </w:tabs>
              <w:outlineLvl w:val="1"/>
              <w:rPr>
                <w:rFonts w:hint="eastAsia" w:ascii="仿宋" w:hAnsi="仿宋" w:eastAsia="仿宋" w:cs="仿宋"/>
                <w:b/>
                <w:sz w:val="24"/>
                <w:szCs w:val="24"/>
              </w:rPr>
            </w:pPr>
            <w:r>
              <w:rPr>
                <w:rFonts w:hint="eastAsia" w:ascii="仿宋" w:hAnsi="仿宋" w:eastAsia="仿宋" w:cs="仿宋"/>
                <w:b/>
                <w:sz w:val="24"/>
                <w:szCs w:val="24"/>
              </w:rPr>
              <w:t>（</w:t>
            </w:r>
            <w:r>
              <w:rPr>
                <w:rFonts w:hint="eastAsia" w:ascii="仿宋" w:hAnsi="仿宋" w:eastAsia="仿宋" w:cs="仿宋"/>
                <w:b/>
                <w:sz w:val="24"/>
                <w:szCs w:val="24"/>
                <w:lang w:val="en-US" w:eastAsia="zh-CN"/>
              </w:rPr>
              <w:t>四</w:t>
            </w:r>
            <w:r>
              <w:rPr>
                <w:rFonts w:hint="eastAsia" w:ascii="仿宋" w:hAnsi="仿宋" w:eastAsia="仿宋" w:cs="仿宋"/>
                <w:b/>
                <w:sz w:val="24"/>
                <w:szCs w:val="24"/>
              </w:rPr>
              <w:t xml:space="preserve">） </w:t>
            </w:r>
            <w:r>
              <w:rPr>
                <w:rFonts w:hint="eastAsia" w:ascii="仿宋" w:hAnsi="仿宋" w:eastAsia="仿宋" w:cs="仿宋"/>
                <w:b/>
                <w:sz w:val="24"/>
                <w:szCs w:val="24"/>
                <w:lang w:val="en-US" w:eastAsia="zh-CN"/>
              </w:rPr>
              <w:t>试用</w:t>
            </w:r>
            <w:r>
              <w:rPr>
                <w:rFonts w:hint="eastAsia" w:ascii="仿宋" w:hAnsi="仿宋" w:eastAsia="仿宋" w:cs="仿宋"/>
                <w:b/>
                <w:sz w:val="24"/>
                <w:szCs w:val="24"/>
              </w:rPr>
              <w:t>要求</w:t>
            </w:r>
          </w:p>
          <w:p w14:paraId="72F1C278">
            <w:pPr>
              <w:rPr>
                <w:rFonts w:hint="eastAsia"/>
              </w:rPr>
            </w:pPr>
            <w:r>
              <w:rPr>
                <w:rFonts w:hint="eastAsia" w:ascii="仿宋" w:hAnsi="仿宋" w:eastAsia="仿宋"/>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43C02A26">
            <w:pPr>
              <w:spacing w:line="276" w:lineRule="auto"/>
              <w:jc w:val="center"/>
              <w:rPr>
                <w:rFonts w:hint="eastAsia" w:ascii="仿宋" w:hAnsi="仿宋" w:eastAsia="仿宋" w:cs="仿宋"/>
                <w:sz w:val="24"/>
                <w:szCs w:val="24"/>
              </w:rPr>
            </w:pPr>
            <w:r>
              <w:rPr>
                <w:rFonts w:hint="eastAsia" w:ascii="仿宋" w:hAnsi="仿宋" w:eastAsia="仿宋" w:cs="仿宋"/>
                <w:sz w:val="24"/>
                <w:szCs w:val="24"/>
              </w:rPr>
              <w:t>1</w:t>
            </w:r>
          </w:p>
        </w:tc>
      </w:tr>
    </w:tbl>
    <w:p w14:paraId="63E62F4F">
      <w:pPr>
        <w:spacing w:line="380" w:lineRule="exact"/>
        <w:rPr>
          <w:rFonts w:ascii="仿宋" w:hAnsi="仿宋" w:eastAsia="仿宋"/>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C1290B"/>
    <w:multiLevelType w:val="singleLevel"/>
    <w:tmpl w:val="D1C1290B"/>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FkOWU3NTVjNjAzOWI5M2U5NTg0Yjg0Mjg1N2QifQ=="/>
  </w:docVars>
  <w:rsids>
    <w:rsidRoot w:val="00DD77DF"/>
    <w:rsid w:val="00003E06"/>
    <w:rsid w:val="00057A12"/>
    <w:rsid w:val="00070040"/>
    <w:rsid w:val="000702B9"/>
    <w:rsid w:val="00091795"/>
    <w:rsid w:val="000B1D4A"/>
    <w:rsid w:val="000C0B4B"/>
    <w:rsid w:val="000D1B1B"/>
    <w:rsid w:val="00111EFC"/>
    <w:rsid w:val="00114AA3"/>
    <w:rsid w:val="0012342B"/>
    <w:rsid w:val="00127F7C"/>
    <w:rsid w:val="001401EA"/>
    <w:rsid w:val="00172759"/>
    <w:rsid w:val="00173D7F"/>
    <w:rsid w:val="00184EFF"/>
    <w:rsid w:val="00185CB0"/>
    <w:rsid w:val="001C100B"/>
    <w:rsid w:val="001D35A9"/>
    <w:rsid w:val="001F4662"/>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57B04"/>
    <w:rsid w:val="004718C5"/>
    <w:rsid w:val="00487B01"/>
    <w:rsid w:val="00495935"/>
    <w:rsid w:val="004A3173"/>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5F4292"/>
    <w:rsid w:val="0060268D"/>
    <w:rsid w:val="00607678"/>
    <w:rsid w:val="00625633"/>
    <w:rsid w:val="006A58B4"/>
    <w:rsid w:val="006B04E2"/>
    <w:rsid w:val="006C784E"/>
    <w:rsid w:val="006D067E"/>
    <w:rsid w:val="006E0E9D"/>
    <w:rsid w:val="006E5DEF"/>
    <w:rsid w:val="007115C1"/>
    <w:rsid w:val="00726D9D"/>
    <w:rsid w:val="00742ADD"/>
    <w:rsid w:val="00746C19"/>
    <w:rsid w:val="00752C24"/>
    <w:rsid w:val="00752FA5"/>
    <w:rsid w:val="00765E9E"/>
    <w:rsid w:val="007A101C"/>
    <w:rsid w:val="00805155"/>
    <w:rsid w:val="00805A89"/>
    <w:rsid w:val="00806320"/>
    <w:rsid w:val="00807F88"/>
    <w:rsid w:val="00830FBA"/>
    <w:rsid w:val="00835AE4"/>
    <w:rsid w:val="008500D5"/>
    <w:rsid w:val="008910C2"/>
    <w:rsid w:val="0089492E"/>
    <w:rsid w:val="00897B30"/>
    <w:rsid w:val="008D2B61"/>
    <w:rsid w:val="008E6AD1"/>
    <w:rsid w:val="008F0AA1"/>
    <w:rsid w:val="008F1FB7"/>
    <w:rsid w:val="00900839"/>
    <w:rsid w:val="00953A0B"/>
    <w:rsid w:val="009574DB"/>
    <w:rsid w:val="009654F5"/>
    <w:rsid w:val="00996666"/>
    <w:rsid w:val="009D0887"/>
    <w:rsid w:val="009D4C11"/>
    <w:rsid w:val="00A05661"/>
    <w:rsid w:val="00A2469D"/>
    <w:rsid w:val="00A26960"/>
    <w:rsid w:val="00A35CEB"/>
    <w:rsid w:val="00A45071"/>
    <w:rsid w:val="00A76D06"/>
    <w:rsid w:val="00A836D9"/>
    <w:rsid w:val="00AC2940"/>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20864"/>
    <w:rsid w:val="00C455CD"/>
    <w:rsid w:val="00CC73C8"/>
    <w:rsid w:val="00CE645F"/>
    <w:rsid w:val="00D152C1"/>
    <w:rsid w:val="00D263FE"/>
    <w:rsid w:val="00D27301"/>
    <w:rsid w:val="00D46BF3"/>
    <w:rsid w:val="00D81024"/>
    <w:rsid w:val="00DA126F"/>
    <w:rsid w:val="00DB48B5"/>
    <w:rsid w:val="00DC0E5E"/>
    <w:rsid w:val="00DD77DF"/>
    <w:rsid w:val="00DE0172"/>
    <w:rsid w:val="00E01BA6"/>
    <w:rsid w:val="00E74E35"/>
    <w:rsid w:val="00E80B84"/>
    <w:rsid w:val="00E95602"/>
    <w:rsid w:val="00EC7811"/>
    <w:rsid w:val="00EF763D"/>
    <w:rsid w:val="00F324E7"/>
    <w:rsid w:val="00F424CE"/>
    <w:rsid w:val="00F77E5F"/>
    <w:rsid w:val="00F855E6"/>
    <w:rsid w:val="0F7B58C1"/>
    <w:rsid w:val="11A21718"/>
    <w:rsid w:val="129220B4"/>
    <w:rsid w:val="40E6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link w:val="20"/>
    <w:autoRedefine/>
    <w:qFormat/>
    <w:uiPriority w:val="99"/>
    <w:pPr>
      <w:tabs>
        <w:tab w:val="left" w:pos="0"/>
      </w:tabs>
      <w:autoSpaceDE w:val="0"/>
      <w:autoSpaceDN w:val="0"/>
      <w:outlineLvl w:val="3"/>
    </w:pPr>
    <w:rPr>
      <w:rFonts w:ascii="Calibri" w:hAnsi="Calibri" w:eastAsia="宋体" w:cs="Times New Roman"/>
      <w:szCs w:val="2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next w:val="1"/>
    <w:link w:val="15"/>
    <w:autoRedefine/>
    <w:qFormat/>
    <w:uiPriority w:val="1"/>
    <w:pPr>
      <w:ind w:left="142"/>
    </w:pPr>
    <w:rPr>
      <w:kern w:val="0"/>
      <w:sz w:val="20"/>
      <w:szCs w:val="21"/>
    </w:rPr>
  </w:style>
  <w:style w:type="paragraph" w:styleId="5">
    <w:name w:val="Balloon Text"/>
    <w:basedOn w:val="1"/>
    <w:link w:val="16"/>
    <w:semiHidden/>
    <w:unhideWhenUsed/>
    <w:uiPriority w:val="99"/>
    <w:rPr>
      <w:sz w:val="18"/>
      <w:szCs w:val="18"/>
    </w:r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uiPriority w:val="99"/>
    <w:rPr>
      <w:sz w:val="18"/>
      <w:szCs w:val="18"/>
    </w:rPr>
  </w:style>
  <w:style w:type="character" w:customStyle="1" w:styleId="15">
    <w:name w:val="正文文本 Char"/>
    <w:basedOn w:val="11"/>
    <w:link w:val="4"/>
    <w:uiPriority w:val="1"/>
    <w:rPr>
      <w:kern w:val="0"/>
      <w:sz w:val="20"/>
      <w:szCs w:val="21"/>
    </w:rPr>
  </w:style>
  <w:style w:type="character" w:customStyle="1" w:styleId="16">
    <w:name w:val="批注框文本 Char"/>
    <w:basedOn w:val="11"/>
    <w:link w:val="5"/>
    <w:semiHidden/>
    <w:uiPriority w:val="99"/>
    <w:rPr>
      <w:sz w:val="18"/>
      <w:szCs w:val="18"/>
    </w:rPr>
  </w:style>
  <w:style w:type="paragraph" w:customStyle="1" w:styleId="17">
    <w:name w:val="列出段落1"/>
    <w:basedOn w:val="1"/>
    <w:autoRedefine/>
    <w:qFormat/>
    <w:uiPriority w:val="99"/>
    <w:pPr>
      <w:ind w:firstLine="420" w:firstLineChars="200"/>
    </w:pPr>
    <w:rPr>
      <w:rFonts w:ascii="Calibri" w:hAnsi="Calibri" w:eastAsia="宋体" w:cs="Times New Roman"/>
    </w:rPr>
  </w:style>
  <w:style w:type="character" w:customStyle="1" w:styleId="18">
    <w:name w:val="font51"/>
    <w:basedOn w:val="11"/>
    <w:autoRedefine/>
    <w:qFormat/>
    <w:uiPriority w:val="0"/>
    <w:rPr>
      <w:rFonts w:hint="eastAsia" w:ascii="微软雅黑" w:hAnsi="微软雅黑" w:eastAsia="微软雅黑" w:cs="微软雅黑"/>
      <w:color w:val="000000"/>
      <w:sz w:val="20"/>
      <w:szCs w:val="20"/>
      <w:u w:val="none"/>
    </w:rPr>
  </w:style>
  <w:style w:type="paragraph" w:styleId="19">
    <w:name w:val="List Paragraph"/>
    <w:basedOn w:val="1"/>
    <w:qFormat/>
    <w:uiPriority w:val="34"/>
    <w:pPr>
      <w:ind w:firstLine="420" w:firstLineChars="200"/>
    </w:pPr>
  </w:style>
  <w:style w:type="character" w:customStyle="1" w:styleId="20">
    <w:name w:val="标题 4 Char"/>
    <w:basedOn w:val="11"/>
    <w:link w:val="3"/>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98AA637-9156-4130-B205-BCED88B1E149}">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3086</Words>
  <Characters>3294</Characters>
  <Lines>101</Lines>
  <Paragraphs>28</Paragraphs>
  <TotalTime>0</TotalTime>
  <ScaleCrop>false</ScaleCrop>
  <LinksUpToDate>false</LinksUpToDate>
  <CharactersWithSpaces>3421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2024-04-09T12:19:00Z</dcterms:created>
  <dc:creator>资产部</dc:creator>
  <cp:lastModifiedBy>Le'novo</cp:lastModifiedBy>
  <dcterms:modified xsi:type="dcterms:W3CDTF">2024-08-03T15:33:28Z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8220532768DB465A9E014035E1B12645_12</vt:lpwstr>
  </property>
</Properties>
</file>